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U.S. Securities and Exchange Commission on June 8, 2026</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71653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152400</wp:posOffset>
            </wp:positionV>
            <wp:extent cx="71653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F-3</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REGISTRATION STATEMENT UNDER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SECURITIES ACT OF 1933</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Leishen Energy Holding Co., Ltd.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(Translation of Registrant’s name into English)</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Cayman Islands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3533</w:t>
            </w:r>
          </w:p>
        </w:tc>
        <w:tc>
          <w:tcPr>
            <w:tcW w:w="24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r>
      <w:tr>
        <w:trPr>
          <w:trHeight w:val="143"/>
        </w:trPr>
        <w:tc>
          <w:tcPr>
            <w:tcW w:w="36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(State or other jurisdiction</w:t>
            </w:r>
          </w:p>
        </w:tc>
        <w:tc>
          <w:tcPr>
            <w:tcW w:w="220" w:type="dxa"/>
            <w:vAlign w:val="bottom"/>
          </w:tcPr>
          <w:p>
            <w:pPr>
              <w:spacing w:after="0"/>
              <w:rPr>
                <w:sz w:val="12"/>
                <w:szCs w:val="12"/>
                <w:color w:val="auto"/>
              </w:rPr>
            </w:pPr>
          </w:p>
        </w:tc>
        <w:tc>
          <w:tcPr>
            <w:tcW w:w="36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(Primary Standard Industrial</w:t>
            </w:r>
          </w:p>
        </w:tc>
        <w:tc>
          <w:tcPr>
            <w:tcW w:w="240" w:type="dxa"/>
            <w:vAlign w:val="bottom"/>
          </w:tcPr>
          <w:p>
            <w:pPr>
              <w:spacing w:after="0"/>
              <w:rPr>
                <w:sz w:val="12"/>
                <w:szCs w:val="12"/>
                <w:color w:val="auto"/>
              </w:rPr>
            </w:pPr>
          </w:p>
        </w:tc>
        <w:tc>
          <w:tcPr>
            <w:tcW w:w="360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6"/>
              </w:rPr>
              <w:t>of incorporation or organization)</w:t>
            </w: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Identification Number)</w:t>
            </w: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103 Huizhong Li, B Building, Peking Times Square, Unit 15B10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Chaoyang District, Beijing, China</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 Hongliang Li</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+86-10-84871799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Puglisi &amp; Associates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850 Library Ave., Suite 204, Newark, DE 19711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302-738-6680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With copies to:</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Huan Lou, Esq.</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David B. Manno, Esq.</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McCarter &amp; English, LLP</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250 West 55th Street, 13th Floor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NY 10019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+1 (212)-609-6800</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4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98"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3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8" w:lineRule="exact"/>
        <w:rPr>
          <w:sz w:val="24"/>
          <w:szCs w:val="24"/>
          <w:color w:val="auto"/>
        </w:rPr>
      </w:pPr>
    </w:p>
    <w:p>
      <w:pPr>
        <w:jc w:val="both"/>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16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71653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716534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323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358140</wp:posOffset>
            </wp:positionV>
            <wp:extent cx="71653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69" w:right="319" w:bottom="1440" w:gutter="0" w:footer="0" w:header="0"/>
        </w:sectPr>
      </w:pPr>
    </w:p>
    <w:bookmarkStart w:id="1" w:name="page2"/>
    <w:bookmarkEnd w:id="1"/>
    <w:p>
      <w:pPr>
        <w:jc w:val="both"/>
        <w:spacing w:after="0" w:line="272"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We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spacing w:after="0" w:line="127" w:lineRule="exact"/>
        <w:rPr>
          <w:sz w:val="20"/>
          <w:szCs w:val="20"/>
          <w:color w:val="auto"/>
        </w:rPr>
      </w:pPr>
    </w:p>
    <w:p>
      <w:pPr>
        <w:spacing w:after="0"/>
        <w:tabs>
          <w:tab w:leader="none" w:pos="4700" w:val="left"/>
          <w:tab w:leader="none" w:pos="10460" w:val="left"/>
        </w:tabs>
        <w:rPr>
          <w:sz w:val="20"/>
          <w:szCs w:val="20"/>
          <w:color w:val="auto"/>
        </w:rPr>
      </w:pPr>
      <w:r>
        <w:rPr>
          <w:rFonts w:ascii="Times New Roman" w:cs="Times New Roman" w:eastAsia="Times New Roman" w:hAnsi="Times New Roman"/>
          <w:sz w:val="14"/>
          <w:szCs w:val="14"/>
          <w:b w:val="1"/>
          <w:bCs w:val="1"/>
          <w:color w:val="FF0000"/>
        </w:rPr>
        <w:t>PRELIMINARY PROSPECTUS</w:t>
      </w:r>
      <w:r>
        <w:rPr>
          <w:sz w:val="20"/>
          <w:szCs w:val="20"/>
          <w:color w:val="auto"/>
        </w:rPr>
        <w:tab/>
      </w:r>
      <w:r>
        <w:rPr>
          <w:rFonts w:ascii="Times New Roman" w:cs="Times New Roman" w:eastAsia="Times New Roman" w:hAnsi="Times New Roman"/>
          <w:sz w:val="14"/>
          <w:szCs w:val="14"/>
          <w:b w:val="1"/>
          <w:bCs w:val="1"/>
          <w:color w:val="FF0000"/>
        </w:rPr>
        <w:t>SUBJECT TO COMPLETION</w:t>
      </w:r>
      <w:r>
        <w:rPr>
          <w:sz w:val="20"/>
          <w:szCs w:val="20"/>
          <w:color w:val="auto"/>
        </w:rPr>
        <w:tab/>
      </w:r>
      <w:r>
        <w:rPr>
          <w:rFonts w:ascii="Times New Roman" w:cs="Times New Roman" w:eastAsia="Times New Roman" w:hAnsi="Times New Roman"/>
          <w:sz w:val="13"/>
          <w:szCs w:val="13"/>
          <w:b w:val="1"/>
          <w:bCs w:val="1"/>
          <w:color w:val="FF0000"/>
        </w:rPr>
        <w:t>JUNE 8,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Leishen Energy Holding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120650</wp:posOffset>
            </wp:positionV>
            <wp:extent cx="2377440" cy="2214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7440" cy="221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Ordinary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55"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We may offer, issue and sell from time to time up to $150,000,000, or its equivalent in any other currency, currency units, or composite currency or currencies, of our Class A ordinary shares of par value $0.001 each (the “</w:t>
      </w:r>
      <w:r>
        <w:rPr>
          <w:rFonts w:ascii="Times New Roman" w:cs="Times New Roman" w:eastAsia="Times New Roman" w:hAnsi="Times New Roman"/>
          <w:sz w:val="14"/>
          <w:szCs w:val="14"/>
          <w:b w:val="1"/>
          <w:bCs w:val="1"/>
          <w:color w:val="auto"/>
        </w:rPr>
        <w:t>Class A Ordinary Shares</w:t>
      </w:r>
      <w:r>
        <w:rPr>
          <w:rFonts w:ascii="Times New Roman" w:cs="Times New Roman" w:eastAsia="Times New Roman" w:hAnsi="Times New Roman"/>
          <w:sz w:val="14"/>
          <w:szCs w:val="14"/>
          <w:color w:val="auto"/>
        </w:rPr>
        <w:t>”), warrants to purchase Class A Ordinary Shares, debt securities, rights and a combination of such securities, separately or as units, in one or more offerings. This prospectus provides a general description of offerings of these securities that we may undertake. We refer to our Class A Ordinary Shares, warrants, debt securities, rights and units collectively as “securities” in this prospectus.</w:t>
      </w:r>
    </w:p>
    <w:p>
      <w:pPr>
        <w:spacing w:after="0" w:line="145"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 xml:space="preserve">This prospectus provides a general description of the securities we may offer. Each time we sell the securities, 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 </w:t>
      </w:r>
      <w:r>
        <w:rPr>
          <w:rFonts w:ascii="Times New Roman" w:cs="Times New Roman" w:eastAsia="Times New Roman" w:hAnsi="Times New Roman"/>
          <w:sz w:val="14"/>
          <w:szCs w:val="14"/>
          <w:b w:val="1"/>
          <w:bCs w:val="1"/>
          <w:color w:val="auto"/>
        </w:rPr>
        <w:t>This prospectus may not be used to offer or sell 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securities unless accompanied by the applicable prospectus supplement.</w:t>
      </w:r>
    </w:p>
    <w:p>
      <w:pPr>
        <w:spacing w:after="0" w:line="145" w:lineRule="exact"/>
        <w:rPr>
          <w:sz w:val="20"/>
          <w:szCs w:val="20"/>
          <w:color w:val="auto"/>
        </w:rPr>
      </w:pPr>
    </w:p>
    <w:p>
      <w:pPr>
        <w:jc w:val="both"/>
        <w:ind w:firstLine="492"/>
        <w:spacing w:after="0" w:line="284" w:lineRule="auto"/>
        <w:rPr>
          <w:sz w:val="20"/>
          <w:szCs w:val="20"/>
          <w:color w:val="auto"/>
        </w:rPr>
      </w:pPr>
      <w:r>
        <w:rPr>
          <w:rFonts w:ascii="Times New Roman" w:cs="Times New Roman" w:eastAsia="Times New Roman" w:hAnsi="Times New Roman"/>
          <w:sz w:val="13"/>
          <w:szCs w:val="13"/>
          <w:color w:val="auto"/>
        </w:rPr>
        <w:t>We may offer and sell the securities from time to time at fixed prices, at market prices or at negotiated prices, to or through underwriters, to other purchasers, through agents, or through a combination of these methods, on a continuous or delayed basis. See “</w:t>
      </w:r>
      <w:r>
        <w:rPr>
          <w:rFonts w:ascii="Times New Roman" w:cs="Times New Roman" w:eastAsia="Times New Roman" w:hAnsi="Times New Roman"/>
          <w:sz w:val="13"/>
          <w:szCs w:val="13"/>
          <w:i w:val="1"/>
          <w:iCs w:val="1"/>
          <w:color w:val="auto"/>
        </w:rPr>
        <w:t>Plan of Distribution</w:t>
      </w:r>
      <w:r>
        <w:rPr>
          <w:rFonts w:ascii="Times New Roman" w:cs="Times New Roman" w:eastAsia="Times New Roman" w:hAnsi="Times New Roman"/>
          <w:sz w:val="13"/>
          <w:szCs w:val="13"/>
          <w:color w:val="auto"/>
        </w:rPr>
        <w:t>”.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2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The authorized share capital of the Company is US$500,000 divided into 467,290,000 Class A Ordinary Shares and 32,710,000 Class B ordinary shares of a nominal or par value of US$0.001 each (the “</w:t>
      </w:r>
      <w:r>
        <w:rPr>
          <w:rFonts w:ascii="Times New Roman" w:cs="Times New Roman" w:eastAsia="Times New Roman" w:hAnsi="Times New Roman"/>
          <w:sz w:val="14"/>
          <w:szCs w:val="14"/>
          <w:b w:val="1"/>
          <w:bCs w:val="1"/>
          <w:color w:val="auto"/>
        </w:rPr>
        <w:t>Class B Ordinary Shares</w:t>
      </w:r>
      <w:r>
        <w:rPr>
          <w:rFonts w:ascii="Times New Roman" w:cs="Times New Roman" w:eastAsia="Times New Roman" w:hAnsi="Times New Roman"/>
          <w:sz w:val="14"/>
          <w:szCs w:val="14"/>
          <w:color w:val="auto"/>
        </w:rPr>
        <w:t>”). As of the date of this prospectus, the Company has 4,315,000 Class A Ordinary Shares and 12,710,000 Class B Ordinary Shares issued and outstanding. Each Class A Ordinary Share carries one (1) vote per share, and each Class B Ordinary Share carries twenty-five (25) votes per share and the other rights attached to it as set out in the Company’s second amended and restated memorandum and articles.</w:t>
      </w:r>
    </w:p>
    <w:p>
      <w:pPr>
        <w:spacing w:after="0" w:line="14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Our Class A Ordinary Shares are currently traded on the Nasdaq Capital Market under the symbol “LSE.” On June 5, 2026, the last reported sale price of our Class A Ordinary Shares on the Nasdaq Capital Market was $3.95 per share. The applicable prospectus supplement will contain information, where applicable, as to other listings, if any, on the Nasdaq Capital Market or other securities exchange of the securities covered by the prospectus supplement.</w:t>
      </w:r>
    </w:p>
    <w:p>
      <w:pPr>
        <w:spacing w:after="0" w:line="143"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The aggregate market value of our outstanding Class A Ordinary Shares held by non-affiliates is approximately US$22,998,950, based on 4,315,000 Class A Ordinary Shares issued and outstanding, of which 4,315,000 Class A Ordinary Shares are held by non-affiliates, and the price of US$5.33 per share based on the closing sale price of our Class A Ordinary Shares on April 24, 2026, which is the highest closing sale price of our Class A Ordinary Shares on the Nasdaq Capital Market within the prior 60 days of this prospectus. Pursuant to General Instruction I.B.5 of Form F-3, in no event will we sell the securities registered on the registration statement to which this prospectus forms a part with a value exceeding one-third of the aggregate market value worldwide of our outstanding common equity held by non-affiliates (which we refer to as our public float) in any 12-month period so long as our public float remains below US$75,000,000.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653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 w:name="page3"/>
    <w:bookmarkEnd w:id="2"/>
    <w:p>
      <w:pPr>
        <w:jc w:val="both"/>
        <w:ind w:firstLine="492"/>
        <w:spacing w:after="0" w:line="254"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w:t>
      </w:r>
      <w:r>
        <w:rPr>
          <w:rFonts w:ascii="Times New Roman" w:cs="Times New Roman" w:eastAsia="Times New Roman" w:hAnsi="Times New Roman"/>
          <w:sz w:val="14"/>
          <w:szCs w:val="14"/>
          <w:b w:val="1"/>
          <w:bCs w:val="1"/>
          <w:i w:val="1"/>
          <w:iCs w:val="1"/>
          <w:color w:val="auto"/>
        </w:rPr>
        <w:t>Prospectus Summary—Summary of Risk Factors</w:t>
      </w:r>
      <w:r>
        <w:rPr>
          <w:rFonts w:ascii="Times New Roman" w:cs="Times New Roman" w:eastAsia="Times New Roman" w:hAnsi="Times New Roman"/>
          <w:sz w:val="14"/>
          <w:szCs w:val="14"/>
          <w:b w:val="1"/>
          <w:bCs w:val="1"/>
          <w:color w:val="auto"/>
        </w:rPr>
        <w:t>” and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in this prospectus, risk factors set forth in our most recent annual report on Form 20-F, as amended (the “2025 Annual Report”), and in the documents incorporated by reference in this prospectus, as updated in the applicable prospectus supplement, any related free writing prospectus and other future filings we make with the U.S. Securities and Exchange Commission (the “SEC”) that are incorporated by reference into this prospectus, for a discussion of the factors you should consider carefully before deciding to purchase our securities.</w:t>
      </w:r>
    </w:p>
    <w:p>
      <w:pPr>
        <w:spacing w:after="0" w:line="139"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Leishen Energy Holding Co., Ltd., which we refer to as “</w:t>
      </w:r>
      <w:r>
        <w:rPr>
          <w:rFonts w:ascii="Times New Roman" w:cs="Times New Roman" w:eastAsia="Times New Roman" w:hAnsi="Times New Roman"/>
          <w:sz w:val="14"/>
          <w:szCs w:val="14"/>
          <w:b w:val="1"/>
          <w:bCs w:val="1"/>
          <w:color w:val="auto"/>
        </w:rPr>
        <w:t>Leishen Cayman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the Company</w:t>
      </w:r>
      <w:r>
        <w:rPr>
          <w:rFonts w:ascii="Times New Roman" w:cs="Times New Roman" w:eastAsia="Times New Roman" w:hAnsi="Times New Roman"/>
          <w:sz w:val="14"/>
          <w:szCs w:val="14"/>
          <w:color w:val="auto"/>
        </w:rPr>
        <w:t>,” is not a Chinese operating company, but a holding company and an exempted company incorporated in the Cayman Islands with limited liability, with operations mainly conducted by its subsidiaries based in mainland China. The securities offered in this prospectus are shares of Leishen Cayman, our Cayman Islands holding company, instead of securities of our operating entities. Investors in our securities should be aware that they may never directly hold equity interests in our operating entities. We commenced our operations in the PRC in 2007 through ZJY Technologies Co., Ltd. and China Oil Blue Ocean Petroleum Technology Inc. On October 19, 2022, we incorporated Leishen Cayman under the laws of the Cayman Islands to serve as our offshore holding company. We also commenced a corporate restructuring in 2022, including incorporating Leishen Energy Group Holding Co., Limited, for the purpose of serving as intermediate holding companies. See “</w:t>
      </w:r>
      <w:r>
        <w:rPr>
          <w:rFonts w:ascii="Times New Roman" w:cs="Times New Roman" w:eastAsia="Times New Roman" w:hAnsi="Times New Roman"/>
          <w:sz w:val="14"/>
          <w:szCs w:val="14"/>
          <w:i w:val="1"/>
          <w:iCs w:val="1"/>
          <w:color w:val="auto"/>
        </w:rPr>
        <w:t>Prospectus Summary—Corporate Information</w:t>
      </w:r>
      <w:r>
        <w:rPr>
          <w:rFonts w:ascii="Times New Roman" w:cs="Times New Roman" w:eastAsia="Times New Roman" w:hAnsi="Times New Roman"/>
          <w:sz w:val="14"/>
          <w:szCs w:val="14"/>
          <w:color w:val="auto"/>
        </w:rPr>
        <w:t>” in this prospectus for more details on our corporate structure. Our corporate structure is a holding company structure that involves unique risks to investors. Under this holding company structure, investors are purchasing equity interests in the Cayman Islands holding company, and obtaining indirect ownership interests in our operating companies. Investors may never hold equity interests in our operating entities. Chinese regulatory authorities could disallow this structure, which would likely result in a material change in our operations and/or a material change in the value of the securities we are registering for sale, which could cause the value of such securities to significantly decline or become worthless. In such event, despite our efforts to restructure to comply with the then applicable PRC laws and regulations in order to continue our operations in China, we may nonetheless experience material changes in our business and results of operations, our attempts may prove to be futile due to factors beyond our control, and the value of the Class A Ordinary Shares you invest in may significantly decline or become worthless.</w:t>
      </w:r>
    </w:p>
    <w:p>
      <w:pPr>
        <w:spacing w:after="0" w:line="150"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We are also subject to legal and operational risks associated with being based in and having the majority of the Company’s operations in China. These risks may result in a material change in our operations, or a complete hindrance of our ability to offer or continue to offer our securities to investors, and could cause the value of such securities to significantly decline or become worthless. See also “</w:t>
      </w:r>
      <w:r>
        <w:rPr>
          <w:rFonts w:ascii="Times New Roman" w:cs="Times New Roman" w:eastAsia="Times New Roman" w:hAnsi="Times New Roman"/>
          <w:sz w:val="14"/>
          <w:szCs w:val="14"/>
          <w:i w:val="1"/>
          <w:iCs w:val="1"/>
          <w:color w:val="auto"/>
        </w:rPr>
        <w:t>Item 3. Key Information—D. Risk Factors— Risks Related to Doing Business in China—The Chinese government has significant authority to exert influence on the conduct of our business and may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intervene or influence our operations at any time, which result in a material change in our operations, and significantly limit or completely hinder our ability to offer or continue to offer securities to investors and cause the value of our securities to significantly decline or be worthless.</w:t>
      </w:r>
      <w:r>
        <w:rPr>
          <w:rFonts w:ascii="Times New Roman" w:cs="Times New Roman" w:eastAsia="Times New Roman" w:hAnsi="Times New Roman"/>
          <w:sz w:val="14"/>
          <w:szCs w:val="14"/>
          <w:color w:val="auto"/>
        </w:rPr>
        <w:t>” in our 2025 Annual Report.</w:t>
      </w:r>
    </w:p>
    <w:p>
      <w:pPr>
        <w:spacing w:after="0" w:line="146" w:lineRule="exact"/>
        <w:rPr>
          <w:sz w:val="20"/>
          <w:szCs w:val="20"/>
          <w:color w:val="auto"/>
        </w:rPr>
      </w:pPr>
    </w:p>
    <w:p>
      <w:pPr>
        <w:jc w:val="both"/>
        <w:ind w:firstLine="492"/>
        <w:spacing w:after="0" w:line="269" w:lineRule="auto"/>
        <w:rPr>
          <w:sz w:val="20"/>
          <w:szCs w:val="20"/>
          <w:color w:val="auto"/>
        </w:rPr>
      </w:pPr>
      <w:r>
        <w:rPr>
          <w:rFonts w:ascii="Times New Roman" w:cs="Times New Roman" w:eastAsia="Times New Roman" w:hAnsi="Times New Roman"/>
          <w:sz w:val="13"/>
          <w:szCs w:val="13"/>
          <w:color w:val="auto"/>
        </w:rPr>
        <w:t>The PRC government has initiated a series of regulatory actions and statements to regulate activities in the overseas securities listing in China, including cracking down on illegal activities in the securities market, enhancing supervision over China-based companies listed overseas using a variable interest entity structure. On February 17, 2023, the China Securities Regulatory Commission (“</w:t>
      </w:r>
      <w:r>
        <w:rPr>
          <w:rFonts w:ascii="Times New Roman" w:cs="Times New Roman" w:eastAsia="Times New Roman" w:hAnsi="Times New Roman"/>
          <w:sz w:val="13"/>
          <w:szCs w:val="13"/>
          <w:b w:val="1"/>
          <w:bCs w:val="1"/>
          <w:color w:val="auto"/>
        </w:rPr>
        <w:t>CSRC</w:t>
      </w:r>
      <w:r>
        <w:rPr>
          <w:rFonts w:ascii="Times New Roman" w:cs="Times New Roman" w:eastAsia="Times New Roman" w:hAnsi="Times New Roman"/>
          <w:sz w:val="13"/>
          <w:szCs w:val="13"/>
          <w:color w:val="auto"/>
        </w:rPr>
        <w:t>”) released the Trial Administrative Measures of Overseas Securities Offering and Listing by Domestic Companies, or the Overseas Listing Trial Measures, and five supporting guidelines, which came into effect on March 31, 2023. The Overseas Listing Trial Measures regulate both direct and indirect overseas offering and listing by PRC domestic companies by adopting a filing-based regulatory regime. According to the Trial Measures, an issuer that issues securities in the same overseas market after its overseas offering and listing shall file with the CSRC within three (3) working days after the completion of the offering. Failure to comply with the filing requirements may result in the company being ordered to make corrections, issued a warning, and imposed a fines. See also “</w:t>
      </w:r>
      <w:r>
        <w:rPr>
          <w:rFonts w:ascii="Times New Roman" w:cs="Times New Roman" w:eastAsia="Times New Roman" w:hAnsi="Times New Roman"/>
          <w:sz w:val="13"/>
          <w:szCs w:val="13"/>
          <w:i w:val="1"/>
          <w:iCs w:val="1"/>
          <w:color w:val="auto"/>
        </w:rPr>
        <w:t>Item 3. Key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Information—D. Risk Factors—Risks Related to Doing Business in China—The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r>
        <w:rPr>
          <w:rFonts w:ascii="Times New Roman" w:cs="Times New Roman" w:eastAsia="Times New Roman" w:hAnsi="Times New Roman"/>
          <w:sz w:val="13"/>
          <w:szCs w:val="13"/>
          <w:color w:val="auto"/>
        </w:rPr>
        <w:t>” for more details in our 2025 Annual Report.</w:t>
      </w:r>
    </w:p>
    <w:p>
      <w:pPr>
        <w:spacing w:after="0" w:line="137" w:lineRule="exact"/>
        <w:rPr>
          <w:sz w:val="20"/>
          <w:szCs w:val="20"/>
          <w:color w:val="auto"/>
        </w:rPr>
      </w:pPr>
    </w:p>
    <w:p>
      <w:pPr>
        <w:jc w:val="both"/>
        <w:ind w:firstLine="492"/>
        <w:spacing w:after="0" w:line="269" w:lineRule="auto"/>
        <w:rPr>
          <w:sz w:val="20"/>
          <w:szCs w:val="20"/>
          <w:color w:val="auto"/>
        </w:rPr>
      </w:pPr>
      <w:r>
        <w:rPr>
          <w:rFonts w:ascii="Times New Roman" w:cs="Times New Roman" w:eastAsia="Times New Roman" w:hAnsi="Times New Roman"/>
          <w:sz w:val="13"/>
          <w:szCs w:val="13"/>
          <w:color w:val="auto"/>
        </w:rPr>
        <w:t>Additionally, the PRC regulatory requirements regarding cybersecurity are evolving, including adopting new measures to extend the scope of cybersecurity reviews. As confirmed by our PRC counsel, Jingtian &amp; Gongcheng, we will not be subject to cybersecurity review with the Cyberspace Administration of China, or the “CAC,” after the Measures for Cybersecurity Review (the “</w:t>
      </w:r>
      <w:r>
        <w:rPr>
          <w:rFonts w:ascii="Times New Roman" w:cs="Times New Roman" w:eastAsia="Times New Roman" w:hAnsi="Times New Roman"/>
          <w:sz w:val="13"/>
          <w:szCs w:val="13"/>
          <w:b w:val="1"/>
          <w:bCs w:val="1"/>
          <w:color w:val="auto"/>
        </w:rPr>
        <w:t>Cybersecurity Review Measures</w:t>
      </w:r>
      <w:r>
        <w:rPr>
          <w:rFonts w:ascii="Times New Roman" w:cs="Times New Roman" w:eastAsia="Times New Roman" w:hAnsi="Times New Roman"/>
          <w:sz w:val="13"/>
          <w:szCs w:val="13"/>
          <w:color w:val="auto"/>
        </w:rPr>
        <w:t>”) became effective on February 15, 2022,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For more detailed information, see also “</w:t>
      </w:r>
      <w:r>
        <w:rPr>
          <w:rFonts w:ascii="Times New Roman" w:cs="Times New Roman" w:eastAsia="Times New Roman" w:hAnsi="Times New Roman"/>
          <w:sz w:val="13"/>
          <w:szCs w:val="13"/>
          <w:i w:val="1"/>
          <w:iCs w:val="1"/>
          <w:color w:val="auto"/>
        </w:rPr>
        <w:t>Item 3. Key Information—D. Risk Factors— Risks Related to Doing Business in China—In light of recent events indicating greater oversight by the Cyberspace Administration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r>
        <w:rPr>
          <w:rFonts w:ascii="Times New Roman" w:cs="Times New Roman" w:eastAsia="Times New Roman" w:hAnsi="Times New Roman"/>
          <w:sz w:val="13"/>
          <w:szCs w:val="13"/>
          <w:color w:val="auto"/>
        </w:rPr>
        <w:t>” in our 2025 Annual Report.</w:t>
      </w:r>
    </w:p>
    <w:p>
      <w:pPr>
        <w:spacing w:after="0" w:line="137"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Other than the foregoing, as of the date of this prospectus and as confirmed by our PRC counsel, Jingtian &amp; Gongcheng, we believe no relevant laws or regulations in the PRC explicitly require us to seek approval from CSRC or any other PRC governmental authorities for our securities offering plan, nor have we (including any of our subsidiaries) received any inquiry, notice, warning or sanctions regarding our planned offering of securities from the CSRC, CAC or any other PRC governmental authorities. However, PRC regulatory authorities may in the future promulgate laws, regulations or implementing rules that would require our Chinese subsidiaries to obtain regulatory approval from Chinese authorities before future offerings of securities in the U.S. These risks could result in a material change in our operations in China and potentially the value of our securities being registered herein for sale. The CSRC regulatory risks could significantly limit or completely hinder our ability to offer or continue to offer securities to investors and cause the value of such securities to significantly decline or be worthless.</w:t>
      </w:r>
    </w:p>
    <w:p>
      <w:pPr>
        <w:spacing w:after="0" w:line="147" w:lineRule="exact"/>
        <w:rPr>
          <w:sz w:val="20"/>
          <w:szCs w:val="20"/>
          <w:color w:val="auto"/>
        </w:rPr>
      </w:pPr>
    </w:p>
    <w:p>
      <w:pPr>
        <w:jc w:val="both"/>
        <w:ind w:firstLine="492"/>
        <w:spacing w:after="0" w:line="246" w:lineRule="auto"/>
        <w:rPr>
          <w:sz w:val="20"/>
          <w:szCs w:val="20"/>
          <w:color w:val="auto"/>
        </w:rPr>
      </w:pPr>
      <w:r>
        <w:rPr>
          <w:rFonts w:ascii="Times New Roman" w:cs="Times New Roman" w:eastAsia="Times New Roman" w:hAnsi="Times New Roman"/>
          <w:sz w:val="14"/>
          <w:szCs w:val="14"/>
          <w:color w:val="auto"/>
        </w:rPr>
        <w:t>In addition, our Class A Ordinary Shares may be prohibited from trading on a national exchange or in the over-the-counter trading market in the United States under the Holding Foreign Companies Accountable Act (the “</w:t>
      </w:r>
      <w:r>
        <w:rPr>
          <w:rFonts w:ascii="Times New Roman" w:cs="Times New Roman" w:eastAsia="Times New Roman" w:hAnsi="Times New Roman"/>
          <w:sz w:val="14"/>
          <w:szCs w:val="14"/>
          <w:b w:val="1"/>
          <w:bCs w:val="1"/>
          <w:color w:val="auto"/>
        </w:rPr>
        <w:t>HFCA Act</w:t>
      </w:r>
      <w:r>
        <w:rPr>
          <w:rFonts w:ascii="Times New Roman" w:cs="Times New Roman" w:eastAsia="Times New Roman" w:hAnsi="Times New Roman"/>
          <w:sz w:val="14"/>
          <w:szCs w:val="14"/>
          <w:color w:val="auto"/>
        </w:rPr>
        <w:t>”), if the Public Company Accounting Oversight Board (the “</w:t>
      </w:r>
      <w:r>
        <w:rPr>
          <w:rFonts w:ascii="Times New Roman" w:cs="Times New Roman" w:eastAsia="Times New Roman" w:hAnsi="Times New Roman"/>
          <w:sz w:val="14"/>
          <w:szCs w:val="14"/>
          <w:b w:val="1"/>
          <w:bCs w:val="1"/>
          <w:color w:val="auto"/>
        </w:rPr>
        <w:t>PCAOB</w:t>
      </w:r>
      <w:r>
        <w:rPr>
          <w:rFonts w:ascii="Times New Roman" w:cs="Times New Roman" w:eastAsia="Times New Roman" w:hAnsi="Times New Roman"/>
          <w:sz w:val="14"/>
          <w:szCs w:val="14"/>
          <w:color w:val="auto"/>
        </w:rPr>
        <w:t>”), determines that it cannot inspect or fully investigate our auditors for three (3) consecutive years. On September 22, 2021, the PCAOB adopted a final rule implementing the HFCA Act, which became law in December 2020. In June 2021, the Senate passed the Accelerating Holding Foreign Companies Accountable Act (the “</w:t>
      </w:r>
      <w:r>
        <w:rPr>
          <w:rFonts w:ascii="Times New Roman" w:cs="Times New Roman" w:eastAsia="Times New Roman" w:hAnsi="Times New Roman"/>
          <w:sz w:val="14"/>
          <w:szCs w:val="14"/>
          <w:b w:val="1"/>
          <w:bCs w:val="1"/>
          <w:color w:val="auto"/>
        </w:rPr>
        <w:t>AHFCAA</w:t>
      </w:r>
      <w:r>
        <w:rPr>
          <w:rFonts w:ascii="Times New Roman" w:cs="Times New Roman" w:eastAsia="Times New Roman" w:hAnsi="Times New Roman"/>
          <w:sz w:val="14"/>
          <w:szCs w:val="14"/>
          <w:color w:val="auto"/>
        </w:rPr>
        <w:t>”), which was signed into law in December 2022 and reduced the time period for the delisting of foreign companies under the HFCA Act to two (2) consecutive, instead of three (3) years. On December 16, 2021, the PCAOB issued a report on its determination that the PCAOB was unable to inspect or investigate completely PCAOB-registered public accounting firms headquartered in mainland China and in Hong Kong, a Special Administrative Region of the People’s Republic of China (PRC), because of positions taken by PRC authorities in those jurisdictions (the “</w:t>
      </w:r>
      <w:r>
        <w:rPr>
          <w:rFonts w:ascii="Times New Roman" w:cs="Times New Roman" w:eastAsia="Times New Roman" w:hAnsi="Times New Roman"/>
          <w:sz w:val="14"/>
          <w:szCs w:val="14"/>
          <w:b w:val="1"/>
          <w:bCs w:val="1"/>
          <w:color w:val="auto"/>
        </w:rPr>
        <w:t>Determinations</w:t>
      </w:r>
      <w:r>
        <w:rPr>
          <w:rFonts w:ascii="Times New Roman" w:cs="Times New Roman" w:eastAsia="Times New Roman" w:hAnsi="Times New Roman"/>
          <w:sz w:val="14"/>
          <w:szCs w:val="14"/>
          <w:color w:val="auto"/>
        </w:rPr>
        <w:t>”). On August 26, 2022, the CSRC, the Ministry of Finance of the PRC (the “</w:t>
      </w:r>
      <w:r>
        <w:rPr>
          <w:rFonts w:ascii="Times New Roman" w:cs="Times New Roman" w:eastAsia="Times New Roman" w:hAnsi="Times New Roman"/>
          <w:sz w:val="14"/>
          <w:szCs w:val="14"/>
          <w:b w:val="1"/>
          <w:bCs w:val="1"/>
          <w:color w:val="auto"/>
        </w:rPr>
        <w:t>MOF</w:t>
      </w:r>
      <w:r>
        <w:rPr>
          <w:rFonts w:ascii="Times New Roman" w:cs="Times New Roman" w:eastAsia="Times New Roman" w:hAnsi="Times New Roman"/>
          <w:sz w:val="14"/>
          <w:szCs w:val="14"/>
          <w:color w:val="auto"/>
        </w:rPr>
        <w:t>”), and the PCAOB signed a Statement of Protocol (the “</w:t>
      </w:r>
      <w:r>
        <w:rPr>
          <w:rFonts w:ascii="Times New Roman" w:cs="Times New Roman" w:eastAsia="Times New Roman" w:hAnsi="Times New Roman"/>
          <w:sz w:val="14"/>
          <w:szCs w:val="14"/>
          <w:b w:val="1"/>
          <w:bCs w:val="1"/>
          <w:color w:val="auto"/>
        </w:rPr>
        <w:t>Protocol</w:t>
      </w:r>
      <w:r>
        <w:rPr>
          <w:rFonts w:ascii="Times New Roman" w:cs="Times New Roman" w:eastAsia="Times New Roman" w:hAnsi="Times New Roman"/>
          <w:sz w:val="14"/>
          <w:szCs w:val="14"/>
          <w:color w:val="auto"/>
        </w:rPr>
        <w:t>”), governing inspections and investigations of audit firms based in China and Hong Kong. On December 15, 2022, the PCAOB determined that it was able to secure complete access to inspect and investigate registered public accounting firms headquartered in mainland China and Hong Kong and vacated its previous Determinations to the contrary. However, should PRC authorities obstruct or otherwise fail to facilitate the PCAOB’s access in the future, the PCAOB may consider the need to issue a new determination. On December 29, 2022, the AHFCAA was signed into law as part of the “Consolidated Appropriations Act, 2023” (the “</w:t>
      </w:r>
      <w:r>
        <w:rPr>
          <w:rFonts w:ascii="Times New Roman" w:cs="Times New Roman" w:eastAsia="Times New Roman" w:hAnsi="Times New Roman"/>
          <w:sz w:val="14"/>
          <w:szCs w:val="14"/>
          <w:b w:val="1"/>
          <w:bCs w:val="1"/>
          <w:color w:val="auto"/>
        </w:rPr>
        <w:t>Consolidated Appropriations Act</w:t>
      </w:r>
      <w:r>
        <w:rPr>
          <w:rFonts w:ascii="Times New Roman" w:cs="Times New Roman" w:eastAsia="Times New Roman" w:hAnsi="Times New Roman"/>
          <w:sz w:val="14"/>
          <w:szCs w:val="14"/>
          <w:color w:val="auto"/>
        </w:rPr>
        <w:t>”), reducing the number of consecutive non-inspection years required for triggering the prohibitions under the HFCA Act from three (3) years to two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653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 w:name="page4"/>
    <w:bookmarkEnd w:id="3"/>
    <w:p>
      <w:pPr>
        <w:jc w:val="both"/>
        <w:ind w:firstLine="492"/>
        <w:spacing w:after="0" w:line="235" w:lineRule="auto"/>
        <w:rPr>
          <w:sz w:val="20"/>
          <w:szCs w:val="20"/>
          <w:color w:val="auto"/>
        </w:rPr>
      </w:pPr>
      <w:r>
        <w:rPr>
          <w:rFonts w:ascii="Times New Roman" w:cs="Times New Roman" w:eastAsia="Times New Roman" w:hAnsi="Times New Roman"/>
          <w:sz w:val="14"/>
          <w:szCs w:val="14"/>
          <w:color w:val="auto"/>
        </w:rPr>
        <w:t>Our auditor Wei, Wei &amp; Co., LLP, an independent registered public accounting firm headquartered at 133-10 39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Avenue in Flushing, New York, United States, is a PCAOB-registered public accounting firm. Our auditor is subject to laws in the United States pursuant to which the PCAOB conducts regular inspections to assess an auditor’s compliance with the applicable professional standards and is subject to inspection by the PCAOB on a regular basis and as such, it is not affected by or subject to the PCAOB’s Determinations. However, there is a risk that our auditor cannot be inspected by the PCAOB in the future. The lack of inspection could cause trading in our securities to be prohibited under the HFCA Act, and, as a result, Nasdaq may determine to delist our securities, which may cause the value of our securities to decline or become worthless. See also “</w:t>
      </w:r>
      <w:r>
        <w:rPr>
          <w:rFonts w:ascii="Times New Roman" w:cs="Times New Roman" w:eastAsia="Times New Roman" w:hAnsi="Times New Roman"/>
          <w:sz w:val="14"/>
          <w:szCs w:val="14"/>
          <w:i w:val="1"/>
          <w:iCs w:val="1"/>
          <w:color w:val="auto"/>
        </w:rPr>
        <w:t>Item 3. Key Information—D. Risk Factors— Risks Related to Doing Business in China—The newly enacted “HFCAA” and “AHFCAA”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both call for additional and more stringent criteria to be applied to restrictive market companies upon assessing the qualification of their auditors, especially the non-U.S. auditors who are not inspected by the PCAOB. These developments could add uncertainties to our Class A Ordinary Shares trading in the United States and if our auditors fail to permit the PCAOB to inspect the auditing firm, our Class A Ordinary Shares may be subject to delisting</w:t>
      </w:r>
      <w:r>
        <w:rPr>
          <w:rFonts w:ascii="Times New Roman" w:cs="Times New Roman" w:eastAsia="Times New Roman" w:hAnsi="Times New Roman"/>
          <w:sz w:val="14"/>
          <w:szCs w:val="14"/>
          <w:color w:val="auto"/>
        </w:rPr>
        <w:t>” in our 2025 Annual Report.</w:t>
      </w:r>
    </w:p>
    <w:p>
      <w:pPr>
        <w:spacing w:after="0" w:line="155"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3"/>
          <w:szCs w:val="13"/>
          <w:color w:val="auto"/>
        </w:rPr>
        <w:t>As of the date of this prospectus, none of our subsidiaries have made any dividends or distributions to Leishen Cayman and Leishen Cayman has not made any dividends or distributions to our shareholders or our subsidiaries.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directly-held subsidiaries, Leishen (Holding) Hong Kong, LSE Energy (Saudi), LSE Energy America, Lionize Engineering, and Leishen Hong Kong. These subsidiaries, to the extent they have further directly-owned subsidiaries, will in turn rely on payments made from their subsidiaries, which are our operating entities in mainland China. However, as the PRC government imposes control over currency conversion, it has the authority to conduct exchange transfer reviews, which may impose certain limitations on our ability to transfer cash among our Company, our subsidiaries, and our investors, primarily reflected in the following aspects: (i) we are restricted from injecting capital or providing loans to PRC subsidiaries, which may adversely affect the operations of our PRC subsidiaries; (ii) our PRC subsidiaries may be restricted from paying dividends to us; and (iii) if we are unable to obtain dividends from our PRC subsidiaries, it may adversely impact our dividend distributions, if any, to our investors. Furthermore,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also “</w:t>
      </w:r>
      <w:r>
        <w:rPr>
          <w:rFonts w:ascii="Times New Roman" w:cs="Times New Roman" w:eastAsia="Times New Roman" w:hAnsi="Times New Roman"/>
          <w:sz w:val="13"/>
          <w:szCs w:val="13"/>
          <w:i w:val="1"/>
          <w:iCs w:val="1"/>
          <w:color w:val="auto"/>
        </w:rPr>
        <w:t>Item 3. Key Information—D. Risk Factors— Risks Related to Our Class A Ordinary Shares — We have not historically declared or paid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dividends on our Ordinary Shares and, consequently, your ability to achieve a return on your investment will primarily depend on appreciation in the price of our Ordinary Shares,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Item 3. Key Information—D. Risk Factors—Risks Related to Doing Business in China—PRC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r>
        <w:rPr>
          <w:rFonts w:ascii="Times New Roman" w:cs="Times New Roman" w:eastAsia="Times New Roman" w:hAnsi="Times New Roman"/>
          <w:sz w:val="13"/>
          <w:szCs w:val="13"/>
          <w:color w:val="auto"/>
        </w:rPr>
        <w:t>” in our 2025 Annual Report.</w:t>
      </w:r>
    </w:p>
    <w:p>
      <w:pPr>
        <w:spacing w:after="0" w:line="136"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We have established controls and procedures for cash flows within our Group based on internal cash management policies developed by our finance department and approved by our senior management. Acting under the direction of senior management, our finance department supervises cash management, establishes cash operation plans, and coordinates cash management matters among the Company’s subsidiaries and departments. Based on operational needs, each subsidiary and department may submit cash requests from time to time to the finance department, specifying the expected amount and timing of such requests. The finance department reviews the compliance and reasonableness of such requests and, where appropriate, compiles a summary for senior management’s consideration, and senior management evaluates and approves the allocation and transfer of cash based on the Company’s available funds and the relative priority of funding needs. In the course of fund transfers and cash flow management, the Group complies with applicable laws and regulations of the People’s Republic of China.</w:t>
      </w:r>
    </w:p>
    <w:p>
      <w:pPr>
        <w:spacing w:after="0" w:line="147"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In addition, our PRC subsidiaries generate their revenue primarily in Renminbi, and cash transfers from our PRC subsidiaries to their parent companies outside of China are subject to PRC government regulation of currency conversion. As a result, any restriction on currency exchange may limit the ability of our PRC subsidiaries to pay dividends to Leishen Cayman. To the extent cash or assets in the business is in the PRC or a PRC entity, the funds and assets may not be available to fund operations or for other use outside of mainland China due to Chinese government’s regulation and limitations on the ability of Leishen Cayman or its subsidiaries by the PRC government to transfer cash or assets. See “</w:t>
      </w:r>
      <w:r>
        <w:rPr>
          <w:rFonts w:ascii="Times New Roman" w:cs="Times New Roman" w:eastAsia="Times New Roman" w:hAnsi="Times New Roman"/>
          <w:sz w:val="14"/>
          <w:szCs w:val="14"/>
          <w:i w:val="1"/>
          <w:iCs w:val="1"/>
          <w:color w:val="auto"/>
        </w:rPr>
        <w:t>Item 3. Key Information—D. Risk Factors—Risks Related to Doing Business in China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—PRC regulations of loans to and direct investment in PRC entities by offshore holding companies and governmental regulation of currency conversion may delay or prevent us from using the proceeds of this offering to make loans or additional capital contributions to our PRC subsidiary, which could materially and adversely affect our liquidity and our ability to fund and expand our business</w:t>
      </w:r>
      <w:r>
        <w:rPr>
          <w:rFonts w:ascii="Times New Roman" w:cs="Times New Roman" w:eastAsia="Times New Roman" w:hAnsi="Times New Roman"/>
          <w:sz w:val="14"/>
          <w:szCs w:val="14"/>
          <w:color w:val="auto"/>
        </w:rPr>
        <w:t>” for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details in our 2025 Annual Report. As of the date of this prospectus, other than the administrative fee and share transfer and cash payment in connection with the Company’s reorganization during its IPO, no cash transfer or transfer of other assets has occurred among our Company and our subsidiaries. Specifically, the proceeds of the Company’s initial public offering (the “IPO”) of $5.4 million have not been transferred to the Chinese subsidiaries; instead, such proceeds have been used for expenses related to the listing process and for daily operating expenses after the listing, such as audit fees, legal fees, etc. See our audited consolidated financial statements for the fiscal years ended September 30, 2025 and 2024 in our 2025 Annual Report.</w:t>
      </w:r>
    </w:p>
    <w:p>
      <w:pPr>
        <w:spacing w:after="0" w:line="149"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We are an “emerging growth company” as defined under the federal securities laws and, as such, will be subject to reduced public company reporting requirements. We are also a “foreign private issuer” as defined in the Securities and Exchange Act of 1934, as amended, or the Exchange Act, and will be exempt from certain rules under the Exchange Act that impose certain disclosure obligations and procedural requirements for proxy solicitations under Section 14 of the Exchange Act. Moreover, we will not be required to file periodic reports and financial statements with the U.S. Securities and Exchange Commission as frequently or as promptly as U.S. companies whose securities are registered under the Exchange Act. See “</w:t>
      </w:r>
      <w:r>
        <w:rPr>
          <w:rFonts w:ascii="Times New Roman" w:cs="Times New Roman" w:eastAsia="Times New Roman" w:hAnsi="Times New Roman"/>
          <w:sz w:val="14"/>
          <w:szCs w:val="14"/>
          <w:i w:val="1"/>
          <w:iCs w:val="1"/>
          <w:color w:val="auto"/>
        </w:rPr>
        <w:t>Item 3. Key Information—D. Risk Factors—Risks Related to Our Class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 Ordinary Shares—Because we are an “emerging growth company,” we may not be subject to requirements that other public companies are subject to, which could affect investor confidence in us and our Class A Ordinary Shares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Item 3. Key Information—D. Risk Factors—Risks Related to Our Class A Ordinary Shares—As a foreign private issuer, we are not subject to certain U.S. securities law disclosure requirements that apply to a domestic U.S. issuer, and are exempt from certain Nasdaq corporate governance standards applicable to U.S. issuers, which may limit the information publicly available to our investors and afford them less protection than if we were a U.S issuer</w:t>
      </w:r>
      <w:r>
        <w:rPr>
          <w:rFonts w:ascii="Times New Roman" w:cs="Times New Roman" w:eastAsia="Times New Roman" w:hAnsi="Times New Roman"/>
          <w:sz w:val="14"/>
          <w:szCs w:val="14"/>
          <w:color w:val="auto"/>
        </w:rPr>
        <w:t>” for further details in our 2025 Annual Report.</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prospectus may not be used to offer or sell any securities unless accompanied by a prospectus supplement.</w:t>
      </w:r>
    </w:p>
    <w:p>
      <w:pPr>
        <w:spacing w:after="0" w:line="163" w:lineRule="exact"/>
        <w:rPr>
          <w:sz w:val="20"/>
          <w:szCs w:val="20"/>
          <w:color w:val="auto"/>
        </w:rPr>
      </w:pPr>
    </w:p>
    <w:p>
      <w:pPr>
        <w:jc w:val="both"/>
        <w:ind w:firstLine="492"/>
        <w:spacing w:after="0" w:line="272"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The date of this prospectus is 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1653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28"/>
        </w:trPr>
        <w:tc>
          <w:tcPr>
            <w:tcW w:w="20" w:type="dxa"/>
            <w:vAlign w:val="bottom"/>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35"/>
        </w:trPr>
        <w:tc>
          <w:tcPr>
            <w:tcW w:w="20" w:type="dxa"/>
            <w:vAlign w:val="bottom"/>
          </w:tcPr>
          <w:p>
            <w:pPr>
              <w:spacing w:after="0"/>
              <w:rPr>
                <w:sz w:val="11"/>
                <w:szCs w:val="11"/>
                <w:color w:val="auto"/>
              </w:rPr>
            </w:pPr>
          </w:p>
        </w:tc>
        <w:tc>
          <w:tcPr>
            <w:tcW w:w="1680" w:type="dxa"/>
            <w:vAlign w:val="bottom"/>
            <w:tcBorders>
              <w:bottom w:val="single" w:sz="8" w:color="0000EE"/>
            </w:tcBorders>
            <w:gridSpan w:val="10"/>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0000EE"/>
              </w:rPr>
              <w:t>ABOUT THIS PROSPECTUS</w:t>
            </w:r>
          </w:p>
        </w:tc>
        <w:tc>
          <w:tcPr>
            <w:tcW w:w="2780" w:type="dxa"/>
            <w:vAlign w:val="bottom"/>
            <w:tcBorders>
              <w:bottom w:val="single" w:sz="8" w:color="CCEEFF"/>
            </w:tcBorders>
            <w:gridSpan w:val="9"/>
            <w:shd w:val="clear" w:color="auto" w:fill="CCEEFF"/>
          </w:tcPr>
          <w:p>
            <w:pPr>
              <w:spacing w:after="0"/>
              <w:rPr>
                <w:sz w:val="11"/>
                <w:szCs w:val="11"/>
                <w:color w:val="auto"/>
              </w:rPr>
            </w:pPr>
          </w:p>
        </w:tc>
        <w:tc>
          <w:tcPr>
            <w:tcW w:w="63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center"/>
              <w:spacing w:after="0" w:line="103" w:lineRule="exact"/>
              <w:rPr>
                <w:sz w:val="20"/>
                <w:szCs w:val="20"/>
                <w:color w:val="auto"/>
              </w:rPr>
            </w:pPr>
            <w:r>
              <w:rPr>
                <w:rFonts w:ascii="Times New Roman" w:cs="Times New Roman" w:eastAsia="Times New Roman" w:hAnsi="Times New Roman"/>
                <w:sz w:val="11"/>
                <w:szCs w:val="11"/>
                <w:color w:val="auto"/>
              </w:rPr>
              <w:t>ii</w:t>
            </w:r>
          </w:p>
        </w:tc>
      </w:tr>
      <w:tr>
        <w:trPr>
          <w:trHeight w:val="133"/>
        </w:trPr>
        <w:tc>
          <w:tcPr>
            <w:tcW w:w="20" w:type="dxa"/>
            <w:vAlign w:val="bottom"/>
          </w:tcPr>
          <w:p>
            <w:pPr>
              <w:spacing w:after="0"/>
              <w:rPr>
                <w:sz w:val="11"/>
                <w:szCs w:val="11"/>
                <w:color w:val="auto"/>
              </w:rPr>
            </w:pPr>
          </w:p>
        </w:tc>
        <w:tc>
          <w:tcPr>
            <w:tcW w:w="4040" w:type="dxa"/>
            <w:vAlign w:val="bottom"/>
            <w:tcBorders>
              <w:bottom w:val="single" w:sz="8" w:color="0000EE"/>
            </w:tcBorders>
            <w:gridSpan w:val="18"/>
          </w:tcPr>
          <w:p>
            <w:pPr>
              <w:spacing w:after="0" w:line="133"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4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iv</w:t>
            </w:r>
          </w:p>
        </w:tc>
      </w:tr>
      <w:tr>
        <w:trPr>
          <w:trHeight w:val="155"/>
        </w:trPr>
        <w:tc>
          <w:tcPr>
            <w:tcW w:w="20" w:type="dxa"/>
            <w:vAlign w:val="bottom"/>
          </w:tcPr>
          <w:p>
            <w:pPr>
              <w:spacing w:after="0"/>
              <w:rPr>
                <w:sz w:val="13"/>
                <w:szCs w:val="13"/>
                <w:color w:val="auto"/>
              </w:rPr>
            </w:pPr>
          </w:p>
        </w:tc>
        <w:tc>
          <w:tcPr>
            <w:tcW w:w="446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PROSPECTUS SUMMARY</w:t>
            </w:r>
          </w:p>
        </w:tc>
        <w:tc>
          <w:tcPr>
            <w:tcW w:w="6800" w:type="dxa"/>
            <w:vAlign w:val="bottom"/>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rPr>
              <w:t>1</w:t>
            </w:r>
          </w:p>
        </w:tc>
      </w:tr>
      <w:tr>
        <w:trPr>
          <w:trHeight w:val="133"/>
        </w:trPr>
        <w:tc>
          <w:tcPr>
            <w:tcW w:w="20" w:type="dxa"/>
            <w:vAlign w:val="bottom"/>
          </w:tcPr>
          <w:p>
            <w:pPr>
              <w:spacing w:after="0"/>
              <w:rPr>
                <w:sz w:val="11"/>
                <w:szCs w:val="11"/>
                <w:color w:val="auto"/>
              </w:rPr>
            </w:pPr>
          </w:p>
        </w:tc>
        <w:tc>
          <w:tcPr>
            <w:tcW w:w="940" w:type="dxa"/>
            <w:vAlign w:val="bottom"/>
            <w:tcBorders>
              <w:top w:val="single" w:sz="8" w:color="0000EE"/>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4"/>
                <w:szCs w:val="14"/>
                <w:color w:val="0000EE"/>
                <w:w w:val="93"/>
              </w:rPr>
              <w:t>RISK FACTORS</w:t>
            </w:r>
          </w:p>
        </w:tc>
        <w:tc>
          <w:tcPr>
            <w:tcW w:w="620" w:type="dxa"/>
            <w:vAlign w:val="bottom"/>
            <w:tcBorders>
              <w:top w:val="single" w:sz="8" w:color="0000EE"/>
            </w:tcBorders>
            <w:gridSpan w:val="5"/>
          </w:tcPr>
          <w:p>
            <w:pPr>
              <w:spacing w:after="0"/>
              <w:rPr>
                <w:sz w:val="11"/>
                <w:szCs w:val="11"/>
                <w:color w:val="auto"/>
              </w:rPr>
            </w:pPr>
          </w:p>
        </w:tc>
        <w:tc>
          <w:tcPr>
            <w:tcW w:w="2900" w:type="dxa"/>
            <w:vAlign w:val="bottom"/>
            <w:tcBorders>
              <w:top w:val="single" w:sz="8" w:color="CCEEFF"/>
            </w:tcBorders>
            <w:gridSpan w:val="11"/>
          </w:tcPr>
          <w:p>
            <w:pPr>
              <w:spacing w:after="0"/>
              <w:rPr>
                <w:sz w:val="11"/>
                <w:szCs w:val="11"/>
                <w:color w:val="auto"/>
              </w:rPr>
            </w:pPr>
          </w:p>
        </w:tc>
        <w:tc>
          <w:tcPr>
            <w:tcW w:w="6800" w:type="dxa"/>
            <w:vAlign w:val="bottom"/>
            <w:tcBorders>
              <w:top w:val="single" w:sz="8" w:color="CCEEFF"/>
            </w:tcBorders>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13</w:t>
            </w:r>
          </w:p>
        </w:tc>
      </w:tr>
      <w:tr>
        <w:trPr>
          <w:trHeight w:val="155"/>
        </w:trPr>
        <w:tc>
          <w:tcPr>
            <w:tcW w:w="20" w:type="dxa"/>
            <w:vAlign w:val="bottom"/>
          </w:tcPr>
          <w:p>
            <w:pPr>
              <w:spacing w:after="0"/>
              <w:rPr>
                <w:sz w:val="13"/>
                <w:szCs w:val="13"/>
                <w:color w:val="auto"/>
              </w:rPr>
            </w:pPr>
          </w:p>
        </w:tc>
        <w:tc>
          <w:tcPr>
            <w:tcW w:w="3040" w:type="dxa"/>
            <w:vAlign w:val="bottom"/>
            <w:tcBorders>
              <w:bottom w:val="single" w:sz="8" w:color="0000EE"/>
            </w:tcBorders>
            <w:gridSpan w:val="16"/>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w w:val="95"/>
              </w:rPr>
              <w:t>OFFER STATISTICS AND EXPECTED TIMETABLE</w:t>
            </w:r>
          </w:p>
        </w:tc>
        <w:tc>
          <w:tcPr>
            <w:tcW w:w="1420" w:type="dxa"/>
            <w:vAlign w:val="bottom"/>
            <w:tcBorders>
              <w:bottom w:val="single" w:sz="8" w:color="CCEEFF"/>
            </w:tcBorders>
            <w:gridSpan w:val="3"/>
            <w:shd w:val="clear" w:color="auto" w:fill="CCEEFF"/>
          </w:tcPr>
          <w:p>
            <w:pPr>
              <w:spacing w:after="0"/>
              <w:rPr>
                <w:sz w:val="13"/>
                <w:szCs w:val="13"/>
                <w:color w:val="auto"/>
              </w:rPr>
            </w:pPr>
          </w:p>
        </w:tc>
        <w:tc>
          <w:tcPr>
            <w:tcW w:w="6800" w:type="dxa"/>
            <w:vAlign w:val="bottom"/>
            <w:tcBorders>
              <w:bottom w:val="single" w:sz="8" w:color="CCEEFF"/>
            </w:tcBorders>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15</w:t>
            </w:r>
          </w:p>
        </w:tc>
      </w:tr>
      <w:tr>
        <w:trPr>
          <w:trHeight w:val="133"/>
        </w:trPr>
        <w:tc>
          <w:tcPr>
            <w:tcW w:w="20" w:type="dxa"/>
            <w:vAlign w:val="bottom"/>
          </w:tcPr>
          <w:p>
            <w:pPr>
              <w:spacing w:after="0"/>
              <w:rPr>
                <w:sz w:val="11"/>
                <w:szCs w:val="11"/>
                <w:color w:val="auto"/>
              </w:rPr>
            </w:pPr>
          </w:p>
        </w:tc>
        <w:tc>
          <w:tcPr>
            <w:tcW w:w="4460" w:type="dxa"/>
            <w:vAlign w:val="bottom"/>
            <w:gridSpan w:val="19"/>
          </w:tcPr>
          <w:p>
            <w:pPr>
              <w:spacing w:after="0" w:line="133" w:lineRule="exact"/>
              <w:rPr>
                <w:sz w:val="20"/>
                <w:szCs w:val="20"/>
                <w:color w:val="auto"/>
              </w:rPr>
            </w:pPr>
            <w:r>
              <w:rPr>
                <w:rFonts w:ascii="Times New Roman" w:cs="Times New Roman" w:eastAsia="Times New Roman" w:hAnsi="Times New Roman"/>
                <w:sz w:val="14"/>
                <w:szCs w:val="14"/>
                <w:color w:val="0000EE"/>
              </w:rPr>
              <w:t>USE OF PROCEEDS</w:t>
            </w:r>
          </w:p>
        </w:tc>
        <w:tc>
          <w:tcPr>
            <w:tcW w:w="6800" w:type="dxa"/>
            <w:vAlign w:val="bottom"/>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15</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540" w:type="dxa"/>
            <w:vAlign w:val="bottom"/>
            <w:tcBorders>
              <w:bottom w:val="single" w:sz="8" w:color="0000EE"/>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w w:val="95"/>
              </w:rPr>
              <w:t>PLAN OF DISTRIBUTION</w:t>
            </w:r>
          </w:p>
        </w:tc>
        <w:tc>
          <w:tcPr>
            <w:tcW w:w="2920" w:type="dxa"/>
            <w:vAlign w:val="bottom"/>
            <w:tcBorders>
              <w:bottom w:val="single" w:sz="8" w:color="CCEEFF"/>
            </w:tcBorders>
            <w:gridSpan w:val="12"/>
            <w:shd w:val="clear" w:color="auto" w:fill="CCEEFF"/>
          </w:tcPr>
          <w:p>
            <w:pPr>
              <w:spacing w:after="0"/>
              <w:rPr>
                <w:sz w:val="13"/>
                <w:szCs w:val="13"/>
                <w:color w:val="auto"/>
              </w:rPr>
            </w:pPr>
          </w:p>
        </w:tc>
        <w:tc>
          <w:tcPr>
            <w:tcW w:w="6800" w:type="dxa"/>
            <w:vAlign w:val="bottom"/>
            <w:tcBorders>
              <w:bottom w:val="single" w:sz="8" w:color="CCEEFF"/>
            </w:tcBorders>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16</w:t>
            </w:r>
          </w:p>
        </w:tc>
      </w:tr>
      <w:tr>
        <w:trPr>
          <w:trHeight w:val="133"/>
        </w:trPr>
        <w:tc>
          <w:tcPr>
            <w:tcW w:w="20" w:type="dxa"/>
            <w:vAlign w:val="bottom"/>
          </w:tcPr>
          <w:p>
            <w:pPr>
              <w:spacing w:after="0"/>
              <w:rPr>
                <w:sz w:val="11"/>
                <w:szCs w:val="11"/>
                <w:color w:val="auto"/>
              </w:rPr>
            </w:pPr>
          </w:p>
        </w:tc>
        <w:tc>
          <w:tcPr>
            <w:tcW w:w="4460" w:type="dxa"/>
            <w:vAlign w:val="bottom"/>
            <w:gridSpan w:val="19"/>
          </w:tcPr>
          <w:p>
            <w:pPr>
              <w:spacing w:after="0" w:line="133" w:lineRule="exact"/>
              <w:rPr>
                <w:sz w:val="20"/>
                <w:szCs w:val="20"/>
                <w:color w:val="auto"/>
              </w:rPr>
            </w:pPr>
            <w:r>
              <w:rPr>
                <w:rFonts w:ascii="Times New Roman" w:cs="Times New Roman" w:eastAsia="Times New Roman" w:hAnsi="Times New Roman"/>
                <w:sz w:val="14"/>
                <w:szCs w:val="14"/>
                <w:color w:val="0000EE"/>
              </w:rPr>
              <w:t>DESCRIPTION OF SHARE CAPITAL</w:t>
            </w:r>
          </w:p>
        </w:tc>
        <w:tc>
          <w:tcPr>
            <w:tcW w:w="6800" w:type="dxa"/>
            <w:vAlign w:val="bottom"/>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18</w:t>
            </w:r>
          </w:p>
        </w:tc>
      </w:tr>
      <w:tr>
        <w:trPr>
          <w:trHeight w:val="144"/>
        </w:trPr>
        <w:tc>
          <w:tcPr>
            <w:tcW w:w="20" w:type="dxa"/>
            <w:vAlign w:val="bottom"/>
          </w:tcPr>
          <w:p>
            <w:pPr>
              <w:spacing w:after="0"/>
              <w:rPr>
                <w:sz w:val="12"/>
                <w:szCs w:val="12"/>
                <w:color w:val="auto"/>
              </w:rPr>
            </w:pPr>
          </w:p>
        </w:tc>
        <w:tc>
          <w:tcPr>
            <w:tcW w:w="2160" w:type="dxa"/>
            <w:vAlign w:val="bottom"/>
            <w:tcBorders>
              <w:top w:val="single" w:sz="8" w:color="0000EE"/>
            </w:tcBorders>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DESCRIPTION OF WARRANTS</w:t>
            </w:r>
          </w:p>
        </w:tc>
        <w:tc>
          <w:tcPr>
            <w:tcW w:w="2300" w:type="dxa"/>
            <w:vAlign w:val="bottom"/>
            <w:gridSpan w:val="7"/>
            <w:shd w:val="clear" w:color="auto" w:fill="CCEEFF"/>
          </w:tcPr>
          <w:p>
            <w:pPr>
              <w:spacing w:after="0"/>
              <w:rPr>
                <w:sz w:val="12"/>
                <w:szCs w:val="12"/>
                <w:color w:val="auto"/>
              </w:rPr>
            </w:pPr>
          </w:p>
        </w:tc>
        <w:tc>
          <w:tcPr>
            <w:tcW w:w="6800" w:type="dxa"/>
            <w:vAlign w:val="bottom"/>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32</w:t>
            </w:r>
          </w:p>
        </w:tc>
      </w:tr>
      <w:tr>
        <w:trPr>
          <w:trHeight w:val="31"/>
        </w:trPr>
        <w:tc>
          <w:tcPr>
            <w:tcW w:w="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228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2180" w:type="dxa"/>
            <w:vAlign w:val="bottom"/>
            <w:gridSpan w:val="6"/>
          </w:tcPr>
          <w:p>
            <w:pPr>
              <w:spacing w:after="0"/>
              <w:rPr>
                <w:sz w:val="11"/>
                <w:szCs w:val="11"/>
                <w:color w:val="auto"/>
              </w:rPr>
            </w:pPr>
          </w:p>
        </w:tc>
        <w:tc>
          <w:tcPr>
            <w:tcW w:w="6800" w:type="dxa"/>
            <w:vAlign w:val="bottom"/>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33</w:t>
            </w:r>
          </w:p>
        </w:tc>
      </w:tr>
      <w:tr>
        <w:trPr>
          <w:trHeight w:val="155"/>
        </w:trPr>
        <w:tc>
          <w:tcPr>
            <w:tcW w:w="20" w:type="dxa"/>
            <w:vAlign w:val="bottom"/>
          </w:tcPr>
          <w:p>
            <w:pPr>
              <w:spacing w:after="0"/>
              <w:rPr>
                <w:sz w:val="13"/>
                <w:szCs w:val="13"/>
                <w:color w:val="auto"/>
              </w:rPr>
            </w:pPr>
          </w:p>
        </w:tc>
        <w:tc>
          <w:tcPr>
            <w:tcW w:w="446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DESCRIPTION OF RIGHTS</w:t>
            </w:r>
          </w:p>
        </w:tc>
        <w:tc>
          <w:tcPr>
            <w:tcW w:w="6800" w:type="dxa"/>
            <w:vAlign w:val="bottom"/>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35</w:t>
            </w:r>
          </w:p>
        </w:tc>
      </w:tr>
      <w:tr>
        <w:trPr>
          <w:trHeight w:val="133"/>
        </w:trPr>
        <w:tc>
          <w:tcPr>
            <w:tcW w:w="2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4"/>
                <w:szCs w:val="14"/>
                <w:color w:val="0000EE"/>
                <w:w w:val="95"/>
              </w:rPr>
              <w:t>DESCRIPTION OF UNITS</w:t>
            </w:r>
          </w:p>
        </w:tc>
        <w:tc>
          <w:tcPr>
            <w:tcW w:w="80" w:type="dxa"/>
            <w:vAlign w:val="bottom"/>
            <w:tcBorders>
              <w:top w:val="single" w:sz="8" w:color="0000EE"/>
            </w:tcBorders>
            <w:gridSpan w:val="3"/>
          </w:tcPr>
          <w:p>
            <w:pPr>
              <w:spacing w:after="0"/>
              <w:rPr>
                <w:sz w:val="11"/>
                <w:szCs w:val="11"/>
                <w:color w:val="auto"/>
              </w:rPr>
            </w:pPr>
          </w:p>
        </w:tc>
        <w:tc>
          <w:tcPr>
            <w:tcW w:w="2860" w:type="dxa"/>
            <w:vAlign w:val="bottom"/>
            <w:tcBorders>
              <w:top w:val="single" w:sz="8" w:color="CCEEFF"/>
            </w:tcBorders>
            <w:gridSpan w:val="10"/>
          </w:tcPr>
          <w:p>
            <w:pPr>
              <w:spacing w:after="0"/>
              <w:rPr>
                <w:sz w:val="11"/>
                <w:szCs w:val="11"/>
                <w:color w:val="auto"/>
              </w:rPr>
            </w:pPr>
          </w:p>
        </w:tc>
        <w:tc>
          <w:tcPr>
            <w:tcW w:w="6800" w:type="dxa"/>
            <w:vAlign w:val="bottom"/>
            <w:tcBorders>
              <w:top w:val="single" w:sz="8" w:color="CCEEFF"/>
            </w:tcBorders>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36</w:t>
            </w:r>
          </w:p>
        </w:tc>
      </w:tr>
      <w:tr>
        <w:trPr>
          <w:trHeight w:val="155"/>
        </w:trPr>
        <w:tc>
          <w:tcPr>
            <w:tcW w:w="20" w:type="dxa"/>
            <w:vAlign w:val="bottom"/>
          </w:tcPr>
          <w:p>
            <w:pPr>
              <w:spacing w:after="0"/>
              <w:rPr>
                <w:sz w:val="13"/>
                <w:szCs w:val="13"/>
                <w:color w:val="auto"/>
              </w:rPr>
            </w:pPr>
          </w:p>
        </w:tc>
        <w:tc>
          <w:tcPr>
            <w:tcW w:w="2580" w:type="dxa"/>
            <w:vAlign w:val="bottom"/>
            <w:tcBorders>
              <w:bottom w:val="single" w:sz="8" w:color="0000EE"/>
            </w:tcBorders>
            <w:gridSpan w:val="14"/>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w w:val="96"/>
              </w:rPr>
              <w:t>ENFORCEABILITY OF CIVIL LIABILITIES</w:t>
            </w:r>
          </w:p>
        </w:tc>
        <w:tc>
          <w:tcPr>
            <w:tcW w:w="1880" w:type="dxa"/>
            <w:vAlign w:val="bottom"/>
            <w:tcBorders>
              <w:bottom w:val="single" w:sz="8" w:color="CCEEFF"/>
            </w:tcBorders>
            <w:gridSpan w:val="5"/>
            <w:shd w:val="clear" w:color="auto" w:fill="CCEEFF"/>
          </w:tcPr>
          <w:p>
            <w:pPr>
              <w:spacing w:after="0"/>
              <w:rPr>
                <w:sz w:val="13"/>
                <w:szCs w:val="13"/>
                <w:color w:val="auto"/>
              </w:rPr>
            </w:pPr>
          </w:p>
        </w:tc>
        <w:tc>
          <w:tcPr>
            <w:tcW w:w="6800" w:type="dxa"/>
            <w:vAlign w:val="bottom"/>
            <w:tcBorders>
              <w:bottom w:val="single" w:sz="8" w:color="CCEEFF"/>
            </w:tcBorders>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37</w:t>
            </w:r>
          </w:p>
        </w:tc>
      </w:tr>
      <w:tr>
        <w:trPr>
          <w:trHeight w:val="133"/>
        </w:trPr>
        <w:tc>
          <w:tcPr>
            <w:tcW w:w="20" w:type="dxa"/>
            <w:vAlign w:val="bottom"/>
          </w:tcPr>
          <w:p>
            <w:pPr>
              <w:spacing w:after="0"/>
              <w:rPr>
                <w:sz w:val="11"/>
                <w:szCs w:val="11"/>
                <w:color w:val="auto"/>
              </w:rPr>
            </w:pPr>
          </w:p>
        </w:tc>
        <w:tc>
          <w:tcPr>
            <w:tcW w:w="4460" w:type="dxa"/>
            <w:vAlign w:val="bottom"/>
            <w:gridSpan w:val="19"/>
          </w:tcPr>
          <w:p>
            <w:pPr>
              <w:spacing w:after="0" w:line="133" w:lineRule="exact"/>
              <w:rPr>
                <w:sz w:val="20"/>
                <w:szCs w:val="20"/>
                <w:color w:val="auto"/>
              </w:rPr>
            </w:pPr>
            <w:r>
              <w:rPr>
                <w:rFonts w:ascii="Times New Roman" w:cs="Times New Roman" w:eastAsia="Times New Roman" w:hAnsi="Times New Roman"/>
                <w:sz w:val="14"/>
                <w:szCs w:val="14"/>
                <w:color w:val="0000EE"/>
              </w:rPr>
              <w:t>TAXATION</w:t>
            </w:r>
          </w:p>
        </w:tc>
        <w:tc>
          <w:tcPr>
            <w:tcW w:w="6800" w:type="dxa"/>
            <w:vAlign w:val="bottom"/>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37</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LEGAL MATTERS</w:t>
            </w:r>
          </w:p>
        </w:tc>
        <w:tc>
          <w:tcPr>
            <w:tcW w:w="6800" w:type="dxa"/>
            <w:vAlign w:val="bottom"/>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38</w:t>
            </w:r>
          </w:p>
        </w:tc>
      </w:tr>
      <w:tr>
        <w:trPr>
          <w:trHeight w:val="133"/>
        </w:trPr>
        <w:tc>
          <w:tcPr>
            <w:tcW w:w="20" w:type="dxa"/>
            <w:vAlign w:val="bottom"/>
          </w:tcPr>
          <w:p>
            <w:pPr>
              <w:spacing w:after="0"/>
              <w:rPr>
                <w:sz w:val="11"/>
                <w:szCs w:val="11"/>
                <w:color w:val="auto"/>
              </w:rPr>
            </w:pPr>
          </w:p>
        </w:tc>
        <w:tc>
          <w:tcPr>
            <w:tcW w:w="1080" w:type="dxa"/>
            <w:vAlign w:val="bottom"/>
            <w:tcBorders>
              <w:top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4"/>
                <w:szCs w:val="14"/>
                <w:color w:val="0000EE"/>
              </w:rPr>
              <w:t>EXPERTS</w:t>
            </w:r>
          </w:p>
        </w:tc>
        <w:tc>
          <w:tcPr>
            <w:tcW w:w="3380" w:type="dxa"/>
            <w:vAlign w:val="bottom"/>
            <w:tcBorders>
              <w:top w:val="single" w:sz="8" w:color="CCEEFF"/>
            </w:tcBorders>
            <w:gridSpan w:val="15"/>
          </w:tcPr>
          <w:p>
            <w:pPr>
              <w:spacing w:after="0"/>
              <w:rPr>
                <w:sz w:val="11"/>
                <w:szCs w:val="11"/>
                <w:color w:val="auto"/>
              </w:rPr>
            </w:pPr>
          </w:p>
        </w:tc>
        <w:tc>
          <w:tcPr>
            <w:tcW w:w="6800" w:type="dxa"/>
            <w:vAlign w:val="bottom"/>
            <w:tcBorders>
              <w:top w:val="single" w:sz="8" w:color="CCEEFF"/>
            </w:tcBorders>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38</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80" w:type="dxa"/>
            <w:vAlign w:val="bottom"/>
            <w:tcBorders>
              <w:bottom w:val="single" w:sz="8" w:color="0000EE"/>
            </w:tcBorders>
            <w:gridSpan w:val="1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w w:val="95"/>
              </w:rPr>
              <w:t>WHERE YOU CAN FIND MORE INFORMATION</w:t>
            </w:r>
          </w:p>
        </w:tc>
        <w:tc>
          <w:tcPr>
            <w:tcW w:w="1580" w:type="dxa"/>
            <w:vAlign w:val="bottom"/>
            <w:tcBorders>
              <w:bottom w:val="single" w:sz="8" w:color="CCEEFF"/>
            </w:tcBorders>
            <w:gridSpan w:val="4"/>
            <w:shd w:val="clear" w:color="auto" w:fill="CCEEFF"/>
          </w:tcPr>
          <w:p>
            <w:pPr>
              <w:spacing w:after="0"/>
              <w:rPr>
                <w:sz w:val="13"/>
                <w:szCs w:val="13"/>
                <w:color w:val="auto"/>
              </w:rPr>
            </w:pPr>
          </w:p>
        </w:tc>
        <w:tc>
          <w:tcPr>
            <w:tcW w:w="6800" w:type="dxa"/>
            <w:vAlign w:val="bottom"/>
            <w:tcBorders>
              <w:bottom w:val="single" w:sz="8" w:color="CCEEFF"/>
            </w:tcBorders>
            <w:gridSpan w:val="2"/>
            <w:shd w:val="clear" w:color="auto" w:fill="CCEEFF"/>
          </w:tcPr>
          <w:p>
            <w:pPr>
              <w:jc w:val="center"/>
              <w:ind w:left="6252"/>
              <w:spacing w:after="0" w:line="144" w:lineRule="exact"/>
              <w:rPr>
                <w:sz w:val="20"/>
                <w:szCs w:val="20"/>
                <w:color w:val="auto"/>
              </w:rPr>
            </w:pPr>
            <w:r>
              <w:rPr>
                <w:rFonts w:ascii="Times New Roman" w:cs="Times New Roman" w:eastAsia="Times New Roman" w:hAnsi="Times New Roman"/>
                <w:sz w:val="14"/>
                <w:szCs w:val="14"/>
                <w:color w:val="auto"/>
                <w:w w:val="85"/>
              </w:rPr>
              <w:t>38</w:t>
            </w:r>
          </w:p>
        </w:tc>
      </w:tr>
      <w:tr>
        <w:trPr>
          <w:trHeight w:val="133"/>
        </w:trPr>
        <w:tc>
          <w:tcPr>
            <w:tcW w:w="20" w:type="dxa"/>
            <w:vAlign w:val="bottom"/>
            <w:tcBorders>
              <w:bottom w:val="single" w:sz="8" w:color="0000EE"/>
            </w:tcBorders>
          </w:tcPr>
          <w:p>
            <w:pPr>
              <w:spacing w:after="0"/>
              <w:rPr>
                <w:sz w:val="11"/>
                <w:szCs w:val="11"/>
                <w:color w:val="auto"/>
              </w:rPr>
            </w:pPr>
          </w:p>
        </w:tc>
        <w:tc>
          <w:tcPr>
            <w:tcW w:w="322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4"/>
                <w:szCs w:val="14"/>
                <w:color w:val="0000EE"/>
                <w:w w:val="96"/>
              </w:rPr>
              <w:t>INCORPORATION OF DOCUMENTS BY REFERENCE</w:t>
            </w:r>
          </w:p>
        </w:tc>
        <w:tc>
          <w:tcPr>
            <w:tcW w:w="1240" w:type="dxa"/>
            <w:vAlign w:val="bottom"/>
            <w:gridSpan w:val="2"/>
          </w:tcPr>
          <w:p>
            <w:pPr>
              <w:spacing w:after="0"/>
              <w:rPr>
                <w:sz w:val="11"/>
                <w:szCs w:val="11"/>
                <w:color w:val="auto"/>
              </w:rPr>
            </w:pPr>
          </w:p>
        </w:tc>
        <w:tc>
          <w:tcPr>
            <w:tcW w:w="6800" w:type="dxa"/>
            <w:vAlign w:val="bottom"/>
            <w:gridSpan w:val="2"/>
          </w:tcPr>
          <w:p>
            <w:pPr>
              <w:jc w:val="center"/>
              <w:ind w:left="6252"/>
              <w:spacing w:after="0" w:line="133" w:lineRule="exact"/>
              <w:rPr>
                <w:sz w:val="20"/>
                <w:szCs w:val="20"/>
                <w:color w:val="auto"/>
              </w:rPr>
            </w:pPr>
            <w:r>
              <w:rPr>
                <w:rFonts w:ascii="Times New Roman" w:cs="Times New Roman" w:eastAsia="Times New Roman" w:hAnsi="Times New Roman"/>
                <w:sz w:val="14"/>
                <w:szCs w:val="14"/>
                <w:color w:val="auto"/>
                <w:w w:val="85"/>
              </w:rPr>
              <w:t>39</w:t>
            </w:r>
          </w:p>
        </w:tc>
      </w:tr>
    </w:tbl>
    <w:p>
      <w:pPr>
        <w:spacing w:after="0" w:line="168" w:lineRule="exact"/>
        <w:rPr>
          <w:sz w:val="20"/>
          <w:szCs w:val="20"/>
          <w:color w:val="auto"/>
        </w:rPr>
      </w:pPr>
    </w:p>
    <w:p>
      <w:pPr>
        <w:jc w:val="both"/>
        <w:ind w:firstLine="492"/>
        <w:spacing w:after="0" w:line="251"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1"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This prospectus is a part of a registration statement that we filed with the U.S. Securities and Exchange Commission, or the Commission, using a “shelf” registration process. Under this shelf registration process, we may offer to sell any of the securities, or any combination of the securities, described in this prospectus, in each case in one or more offerings, up to a total amount of $150,000,000. You should rely only on the information contained in this prospectus and the related exhibits, any prospectus supplement or amendment thereto and the documents incorporated by reference, or to which we have referred you, before making your investment decision. We have not authorized anyone to provide you with different information. If anyone provides you with different or inconsistent information, you should not rely on it. This prospectus, any prospectus supplement or amendments thereto do not constitute an offer to sell, or a solicitation of an offer to purchase, the securities offered by this prospectus, any prospectus supplement or amendments thereto in any jurisdiction to or from any person to whom or from whom it is unlawful to make such offer or solicitation of an offer in such jurisdiction. You should not assume that the information contained in this prospectus, any prospectus supplement or amendments thereto, as well as information we have previously filed with the Commission, is accurate as of any date other than the date on the front cover of the applicable document.</w:t>
      </w:r>
    </w:p>
    <w:p>
      <w:pPr>
        <w:spacing w:after="0" w:line="15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If necessary, the specific manner in which the securities may be offered and sold will be described in a supplement to this prospectus, which supplement may also add, update or change any of the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w:t>
      </w:r>
    </w:p>
    <w:p>
      <w:pPr>
        <w:spacing w:after="0" w:line="14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Neither the delivery of this prospectus nor any distribution of securities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this prospectus, when used herein, unless the context requires otherwise:</w:t>
      </w:r>
    </w:p>
    <w:p>
      <w:pPr>
        <w:spacing w:after="0" w:line="167" w:lineRule="exact"/>
        <w:rPr>
          <w:sz w:val="20"/>
          <w:szCs w:val="20"/>
          <w:color w:val="auto"/>
        </w:rPr>
      </w:pPr>
    </w:p>
    <w:p>
      <w:pPr>
        <w:ind w:left="500" w:hanging="252"/>
        <w:spacing w:after="0" w:line="266"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“Affiliated Entities” refers to Leishen Hong Kong, Leishen (Holding) Hong Kong, ZJY Technologies, China Oil Blue Ocean, Leishen Nanjing, Beijing Leishen Green Energy, Leishen Shandong, Leishen Services, Huayou Huitong, Sichuan Leishen Green Energy, Sichuan Leishen Hongzhuo and Xinjiang Breslin;</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“Beijing Leishen Green Energy” refers to Leishen Green Energy Technology Development (Beijing) Co. LTD, a Chinese company and a wholly-owned subsidiary of Leishen (Holding) Hong Kong;</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“BOD” or “Board” refers to the board of directors of Leishen Cayman;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or the “PRC” refers the People’s Republic of China;</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“China Oil Blue Ocean” refers to China Oil Blue Ocean Petroleum Technology Inc., a Chinese company and a wholly-owned subsidiary of Leishen (Holding) Hong Kong;</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Shares” are to the Class A ordinary shares of Leishen Energy Holding Co., Ltd., par value US$0.001 per share, each entitled to one (1) vote on all matters subject to vote at general meetings of Leishen Energy Holding Co., Ltd;</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B Ordinary Shares” are to the Class B ordinary shares of Leishen Energy Holding Co., Ltd., par value US$0.001 per share, each entitled to twenty-five (25) votes on all matters subject to vote at general meetings of Leishen Energy Holding Co., Ltd;</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“Leishen Cayman” refers to Leishen Energy Holding Co., Ltd., an exempted company incorporated under the laws of the Cayman Islands and the holding company of our Group;</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“Hong Kong” refers to the Hong Kong Special Administrative Region in the PRC;</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“Huayou Huitong” refers to Sichuan Huayou Huitong New Material Co., Ltd., a Chinese company and a majority owned subsidiary of China Oil Blue Ocean;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“Leishen Hong Kong” refers to LeiShen Energy Group Co., Limited, a company incorporated under the laws of Hong Kong and a wholly-owned subsidiary of Leishen Cayman;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6" w:name="page7"/>
    <w:bookmarkEnd w:id="6"/>
    <w:p>
      <w:pPr>
        <w:ind w:left="500" w:hanging="252"/>
        <w:spacing w:after="0"/>
        <w:tabs>
          <w:tab w:leader="none" w:pos="50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“Leishen (Holding) Hong Kong” refers to LeiShen Energy Group Holding Co., Limited, a company incorporated under the laws of Hong Kong and a wholly-owned subsidiary of Leishen Cayman;</w:t>
      </w:r>
    </w:p>
    <w:p>
      <w:pPr>
        <w:spacing w:after="0" w:line="178" w:lineRule="exact"/>
        <w:rPr>
          <w:rFonts w:ascii="Times New Roman" w:cs="Times New Roman" w:eastAsia="Times New Roman" w:hAnsi="Times New Roman"/>
          <w:sz w:val="13"/>
          <w:szCs w:val="13"/>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“Leishen Nanjing” refers to Leishen Energy Technology (Nanjing) Co., Ltd., a Chinese company and a wholly-owned subsidiary of Leishen (Holding) Hong Kong;</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“Leishen Services” refers to Leishen Energy Services Co., Ltd., a Chinese company and a wholly-owned subsidiary of Leishen Hong Kong;</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“Leishen Shandong” refers to Leishen Energy Technology (Shandong) Co., Ltd., a Chinese company and a wholly-owned subsidiary of Leishen Hong Kong;</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“LSE Energy (Saudi)” refers to LSE Energy International Co., Ltd. (Saudi), a wholly-owned subsidiary of Leishen Cayman incorporated in the Kingdom of Saudi Arabia;</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“mainland China” refers to the mainland of the People’s Republic of China, excluding Taiwan and the special administrative regions of Hong Kong and Macau for the purposes of this prospectus only;</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Subsidiaries” refers to our subsidiaries which directly carry out business operations, being ZJY Technologies, China Oil Blue Ocean, Leishen Nanjing, Beijing Leishen Green Energy, Leishen Shandong, Leishen Services, Huayou Huitong, Sichuan Leishen Green Energy, Sichuan Leishen Hongzhuo and Xinjiang Breslin;</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“Shares” or “Ordinary Shares” refers to our Class A Ordinary Shares and Class B Ordinary Shares, par value US$0.001 per share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“Sichuan Leishen Green Energy” refers to Sichuan Leishen Green Energy Co., Ltd., a Chinese company and a wholly-owned subsidiary of Beijing Leishen Green Energy;</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“PCAOB” refers to the United States Public Company Accounting Oversight Board;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“Renminbi” or “RMB” refers to the legal currency of China;</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or “Commission” refers to the U.S. Securities and Exchange Commission;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“Sichuan Leishen Hongzhuo” refers to Sichuan Leishen Hongzhuo Energy Development Co., Ltd., a Chinese company and a majority owned subsidiary of Beijing Leishen Green Energy;</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or the “Group” refers to Leishen Cayman, Leishen Hong Kong, Leishen (Holding) Hong Kong, ZJY Technologies, China Oil Blue Ocean, Leishen Nanjing, Beijing Leishen Green Energy, Leishen Shandong, Leishen Services, Huayou Huitong, Sichuan Leishen Green Energy, Sichuan Leishen Hongzhuo and Xinjiang Breslin, as a group;</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“Xinjiang Breslin” refers to Xinjiang Breslin Oil and Gas Service Co., Ltd., a Chinese company and wholly-owned subsidiary of Leishen Services;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“ZJY Technologies” refers to ZJY Technologies Co., Ltd., a Chinese company and wholly-owned subsidiary of Leishen (Holding) Hong Kong;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“US$,” “dollar” or “U.S. dollar” refers to the legal currency of the United States.</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1"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This prospectus and the documents incorporated herein by reference contain forward-looking statements that reflect our current expectations and views of future events,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prospectus.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spacing w:after="0" w:line="149" w:lineRule="exact"/>
        <w:rPr>
          <w:sz w:val="20"/>
          <w:szCs w:val="20"/>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financial and operating results, including revenues, income, expenditures, cash balances and other financial items;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thrive on short-term and long-term levels amid ongoing geopolitical uncertainties;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growth, and expansion, including our ability to meet our goals;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future economic and political conditions;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our industry;</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operate through the our holding company structure;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 requirements and our ability to raise any additional financing which we may require;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clients, and further enhance our brand recognition;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services of our Board and executive officers;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qualified management personnel and key employees in order to enable us to develop our business;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and competition in the clean-energy equipment and integrated solutions to the oil and gas industry;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assumptions described in this prospectus underlying or relating to any forward-looking statements.</w:t>
      </w:r>
    </w:p>
    <w:p>
      <w:pPr>
        <w:spacing w:after="0" w:line="163" w:lineRule="exact"/>
        <w:rPr>
          <w:sz w:val="20"/>
          <w:szCs w:val="20"/>
          <w:color w:val="auto"/>
        </w:rPr>
      </w:pPr>
    </w:p>
    <w:p>
      <w:pPr>
        <w:jc w:val="both"/>
        <w:ind w:firstLine="492"/>
        <w:spacing w:after="0" w:line="251" w:lineRule="auto"/>
        <w:rPr>
          <w:sz w:val="20"/>
          <w:szCs w:val="20"/>
          <w:color w:val="auto"/>
        </w:rPr>
      </w:pPr>
      <w:r>
        <w:rPr>
          <w:rFonts w:ascii="Times New Roman" w:cs="Times New Roman" w:eastAsia="Times New Roman" w:hAnsi="Times New Roman"/>
          <w:sz w:val="14"/>
          <w:szCs w:val="14"/>
          <w:color w:val="auto"/>
        </w:rPr>
        <w:t>We describe material risks, uncertainties and assumptions that could affect our business, including our financial condition and results of operations,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We base our forward-looking statements on our management’s beliefs and assumptions based on information available to our management at the time the statements are made. Although we believe that our expectations expressed in these forward-looking statements are reasonable, our expectations may later be found to be incorrect. Our actual results could be materially different from our expectations. You should read thoroughly this prospectus and the documents incorporated herein by reference with the understanding that our actual future results may be materially different from and worse than what we expect. We qualify all of our forward-looking statements by these cautionary statements.</w:t>
      </w:r>
    </w:p>
    <w:p>
      <w:pPr>
        <w:spacing w:after="0" w:line="147"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This prospectus and the documents incorporated herein by reference contain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market to grow at the projected rate may have a material and adverse effect on our business and the market price of our Class A Ordinary Shares.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46"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The forward-looking statements made in this prospectus and the documents incorporated herein by reference relate only to events or information as of the date on which the statements are made in this prospectus and the documents incorporated herein by reference.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incorporated herein by reference and have filed as exhibits to the registration statement, of which this prospectus is a part, completely and with the understanding that our actual future results may be materially different from what we expect.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Our businesses revolve around the energy sector and primarily include four segments comprising (i) clean-energy equipment; (ii) new energy production and operation; (iii) digitalization and integration equipment; and (iv) oil and gas engineering technical services.</w:t>
      </w:r>
    </w:p>
    <w:p>
      <w:pPr>
        <w:spacing w:after="0" w:line="132" w:lineRule="exact"/>
        <w:rPr>
          <w:sz w:val="20"/>
          <w:szCs w:val="20"/>
          <w:color w:val="auto"/>
        </w:rPr>
      </w:pPr>
    </w:p>
    <w:p>
      <w:pPr>
        <w:jc w:val="both"/>
        <w:ind w:left="500" w:hanging="252"/>
        <w:spacing w:after="0" w:line="25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Clean-Energy Equipment</w:t>
      </w:r>
      <w:r>
        <w:rPr>
          <w:rFonts w:ascii="Times New Roman" w:cs="Times New Roman" w:eastAsia="Times New Roman" w:hAnsi="Times New Roman"/>
          <w:sz w:val="14"/>
          <w:szCs w:val="14"/>
          <w:color w:val="auto"/>
        </w:rPr>
        <w:t>: Based on the different needs of customers and varying production environments, we design customized solutions for our clients, and supply our customers with a wide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variety of equipment, such as reciprocating compressor units, expansion units, wellhead heating systems (electromagnetic/solar energy), wellhead safety control systems, oil-water separation systems, natural gas online sampling systems, oil and gas skid-mounted equipment, and polymer flexible composite pipes.</w:t>
      </w:r>
    </w:p>
    <w:p>
      <w:pPr>
        <w:spacing w:after="0" w:line="137" w:lineRule="exact"/>
        <w:rPr>
          <w:rFonts w:ascii="Times New Roman" w:cs="Times New Roman" w:eastAsia="Times New Roman" w:hAnsi="Times New Roman"/>
          <w:sz w:val="14"/>
          <w:szCs w:val="14"/>
          <w:color w:val="auto"/>
        </w:rPr>
      </w:pPr>
    </w:p>
    <w:p>
      <w:pPr>
        <w:jc w:val="both"/>
        <w:ind w:left="500" w:hanging="252"/>
        <w:spacing w:after="0" w:line="250"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Oil and Gas Engineering Technical Services</w:t>
      </w:r>
      <w:r>
        <w:rPr>
          <w:rFonts w:ascii="Times New Roman" w:cs="Times New Roman" w:eastAsia="Times New Roman" w:hAnsi="Times New Roman"/>
          <w:sz w:val="14"/>
          <w:szCs w:val="14"/>
          <w:color w:val="auto"/>
        </w:rPr>
        <w:t>: We provide customers with a broad range of products and technical solutions for oil and gas production to meet the different needs of oilfield users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production site geographical conditions, and achieve clients’ objectives for production maximization, cost reduction and operational reliability. More specifically, we design and customize various pressurization gas injection units, coupled with ancillary services such as equipment leasing, technical personnel support and remote expert product diagnosis, in order to help our customers attain heightened productivity and efficiency. We also offer various types of professional services, such as equipment maintenance, spare parts supply, upgrading and customization, and other technical services to our customers. Leveraging on our long-term cooperative relationships with world-renowned brand owners, we can establish a spare parts reserve warehouse at the customer’s site to provide integrated and timely operation support for the transportation, maintenance, repair, and troubleshooting of the user’s on-site equipment.</w:t>
      </w:r>
    </w:p>
    <w:p>
      <w:pPr>
        <w:spacing w:after="0" w:line="142" w:lineRule="exact"/>
        <w:rPr>
          <w:rFonts w:ascii="Times New Roman" w:cs="Times New Roman" w:eastAsia="Times New Roman" w:hAnsi="Times New Roman"/>
          <w:sz w:val="14"/>
          <w:szCs w:val="14"/>
          <w:color w:val="auto"/>
        </w:rPr>
      </w:pPr>
    </w:p>
    <w:p>
      <w:pPr>
        <w:jc w:val="both"/>
        <w:ind w:left="500" w:hanging="252"/>
        <w:spacing w:after="0" w:line="254"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New Energy Production and Operation</w:t>
      </w:r>
      <w:r>
        <w:rPr>
          <w:rFonts w:ascii="Times New Roman" w:cs="Times New Roman" w:eastAsia="Times New Roman" w:hAnsi="Times New Roman"/>
          <w:sz w:val="14"/>
          <w:szCs w:val="14"/>
          <w:color w:val="auto"/>
        </w:rPr>
        <w:t>: Our New Energy Production and Operation business focuses on the production, storage and transportation of natural gas (LNG/CNG), the substitution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traditional fuels, development of distributed energy, and the planning and operation of new energy and new energy industries. We are committed to providing customers with natural gas and other multi-category clean-energy resources (LNG, CNG, solar energy, and expander differential pressure power generation), providing integrated solutions and developing diversified products and operational services centered around customer needs.</w:t>
      </w:r>
    </w:p>
    <w:p>
      <w:pPr>
        <w:spacing w:after="0" w:line="139" w:lineRule="exact"/>
        <w:rPr>
          <w:rFonts w:ascii="Times New Roman" w:cs="Times New Roman" w:eastAsia="Times New Roman" w:hAnsi="Times New Roman"/>
          <w:sz w:val="14"/>
          <w:szCs w:val="14"/>
          <w:color w:val="auto"/>
        </w:rPr>
      </w:pPr>
    </w:p>
    <w:p>
      <w:pPr>
        <w:jc w:val="both"/>
        <w:ind w:left="500" w:hanging="252"/>
        <w:spacing w:after="0" w:line="251"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Digitalization and Integration Equipment</w:t>
      </w:r>
      <w:r>
        <w:rPr>
          <w:rFonts w:ascii="Times New Roman" w:cs="Times New Roman" w:eastAsia="Times New Roman" w:hAnsi="Times New Roman"/>
          <w:sz w:val="14"/>
          <w:szCs w:val="14"/>
          <w:color w:val="auto"/>
        </w:rPr>
        <w:t>: Leveraging years of practical experience in the oil and gas industry, and in anticipation of future trends of industrial interconnectivity, our Digitalization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Integration business is designed to provide informatization solutions for the industry chain which is being met with industrial intelligence, mobility, industrial interconnection and big data trends. At present, this business segment is centered on creating digitally managed oilfields (equipped with predictive technologies for the maintenance and management of equipment, health/safety/environment monitoring and intelligent inspection, intelligent central control rooms etc.), digitalized oil and gas transportation, intelligent manufacturing and warehousing, and intelligent hardware.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With over 17 years of operations in the energy industry, our customers consist of various reputable energy companies with whom we have developed and secured strategic partnerships and for whom we have been selected on certain important projects in China and the Middle East. we sell and market through sales and after-sales service agencies in the regions in which we operate, which establish closer relations with customers, facilitate understanding of user needs, and enable us to discuss technical equipment requirements at the beginning of each project and provide product selection and customization solutions, while leveraging prior project performance and user relationships in bidding and after-sales service framework orders. Our suppliers consist of many well-known manufacturers in the oil and gas field with whom we have maintained long-term cooperative relations, supported by our own supplier management system and strict control procedures for parts procurement, as well as spare parts warehouses that facilitate efficient delivery and support the effective operation and quality of our production equipment.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a Cayman Islands holding company and primarily conduct our operations in China through our PRC subsidiaries. We commenced our operations in the PRC in 2007 through ZJY Technologies Co., Ltd. and China Oil Blue Ocean Petroleum Technology Inc. On October 19, 2022, we incorporated Leishen Cayman under the laws of the Cayman Islands to serve as our offshore holding company. We also commenced a corporate restructuring in 2022, including incorporating Leishen Energy Group Holding Co., Limited, for the purpose of serving as intermediate holding companies.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diagram illustrates our corporate structure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114300</wp:posOffset>
            </wp:positionV>
            <wp:extent cx="5210810" cy="2905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0810" cy="290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principal executive offices are located at 103 Huizhong Li, B Building, Peking Times Square, Unit 15B10, Chaoyang District, Beijing, China. Our telephone number at this address is +86-10-84871799. Our registered office in the Cayman Islands is located at 89 Nexus Way, Camana Bay, Grand Cayman, KY1-9009, Cayman Islands. Our agent for service of process in the United States for matters relating to and arising under this registration statement is Puglisi &amp; Associates located at 850 Library Ave., Suite 204, Newark, DE 19711.</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b w:val="1"/>
          <w:bCs w:val="1"/>
          <w:color w:val="auto"/>
        </w:rPr>
        <w:t>The SEC maintains an internet site that contains reports, proxy and information statements, and other information regarding issuers that file electronically with the SEC at www.sec.gov. You can also find information on our website at https://www.r-egroup.com/. Information contained on, or that can be accessed through, our website does not constitute a part of this prospectus and is not incorporated by reference herein or therein. We have included our website address in this prospectus solely for informational purposes and you should not consider any information contained on, or that can be accessed through, our website as part of this prospectus or in deciding whether to purchase our securities.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An investment in our securities involves significant risks. Before making an investment decision, you should carefully consider all of the information in this prospectus, including the risks and uncertainties described below, the risk factors contained in “</w:t>
      </w:r>
      <w:r>
        <w:rPr>
          <w:rFonts w:ascii="Times New Roman" w:cs="Times New Roman" w:eastAsia="Times New Roman" w:hAnsi="Times New Roman"/>
          <w:sz w:val="14"/>
          <w:szCs w:val="14"/>
          <w:i w:val="1"/>
          <w:iCs w:val="1"/>
          <w:color w:val="auto"/>
        </w:rPr>
        <w:t>Item 3. Key Information—D. Risk Factors</w:t>
      </w:r>
      <w:r>
        <w:rPr>
          <w:rFonts w:ascii="Times New Roman" w:cs="Times New Roman" w:eastAsia="Times New Roman" w:hAnsi="Times New Roman"/>
          <w:sz w:val="14"/>
          <w:szCs w:val="14"/>
          <w:color w:val="auto"/>
        </w:rPr>
        <w:t>” in our 2025 Annual Report, as well as any future updates to those risk factors in our reports on Form 6-K, in each case incorporated by reference herein, together with all of the other information appearing or incorporated by reference herein. Any of these risks could have a material adverse effect on our business, financial condition and results of operations. In any such case, the market price of our securities could decline, and you may lose all or part of your investment. Additional risks not presently known to us or that we currently deem immaterial may also impair our business operations.</w:t>
      </w:r>
    </w:p>
    <w:p>
      <w:pPr>
        <w:spacing w:after="0" w:line="14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are a holding company incorporated in the Cayman Islands. Investing in our Class A Ordinary Shares involves significant risks. Our revenues are generated primarily by our Chinese operating entities. Below is a summary of certain material risks we face, organized under relevant headings. For detailed discussions,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and “</w:t>
      </w:r>
      <w:r>
        <w:rPr>
          <w:rFonts w:ascii="Times New Roman" w:cs="Times New Roman" w:eastAsia="Times New Roman" w:hAnsi="Times New Roman"/>
          <w:sz w:val="14"/>
          <w:szCs w:val="14"/>
          <w:i w:val="1"/>
          <w:iCs w:val="1"/>
          <w:color w:val="auto"/>
        </w:rPr>
        <w:t>Item 3. Key Information—D. 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w:t>
      </w:r>
      <w:r>
        <w:rPr>
          <w:rFonts w:ascii="Times New Roman" w:cs="Times New Roman" w:eastAsia="Times New Roman" w:hAnsi="Times New Roman"/>
          <w:sz w:val="14"/>
          <w:szCs w:val="14"/>
          <w:color w:val="auto"/>
        </w:rPr>
        <w:t>” in our 2025 Annual Report, incorporated herein by reference.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and Industry</w:t>
      </w:r>
    </w:p>
    <w:p>
      <w:pPr>
        <w:spacing w:after="0" w:line="171" w:lineRule="exact"/>
        <w:rPr>
          <w:sz w:val="20"/>
          <w:szCs w:val="20"/>
          <w:color w:val="auto"/>
        </w:rPr>
      </w:pPr>
    </w:p>
    <w:p>
      <w:pPr>
        <w:ind w:firstLine="494"/>
        <w:spacing w:after="0" w:line="266" w:lineRule="auto"/>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reliant on a small number of customers who contribute a majority of our revenue and the loss of one or more of these customers could adversely affect our business, financial condition, and results of operations.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cyclical nature of the oil and natural gas industry may cause our operating results to fluctuate.</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military action between Russia and Ukraine could adversely affect our business, financial condition and results of operations.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continually research and develop new technologies and products to remain competitive.</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by our third-party vendors to fulfill their obligations would negatively affect our ability to operate profitably.</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technology-oriented business, our ability to operate profitably is directly related to our ability to develop and protect our proprietary technology.</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prevent others from unauthorized use of our intellectual property, which could harm our business and competitive position.</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accused of infringing the intellectual property rights of others.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software products may contain integration challenges, design defects or software errors that could be difficult to detect and correct.</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help our customers find, develop and acquire oil and gas reserves.</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3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are companies engaged in the oil and gas industry and the greater energy industry, and, consequently, our financial performance is dependent upon the economic conditions of those industries.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environmental and regulatory factors may impair our business.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11" w:name="page12"/>
    <w:bookmarkEnd w:id="11"/>
    <w:p>
      <w:pPr>
        <w:ind w:left="620" w:hanging="126"/>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reserve degradation and depletion may reduce our customers’ profitability and in turn our financial performance.</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heavily dependent upon the services of experienced personnel who possess skills that are valuable in our industry, and we may have to actively compete for their services.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skilled workers may impact growth potential and profitability.</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capital intensive and our growth strategy may require additional capital, which may not be available on favorable terms or at all.</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certificates, permits, and license are subject to governmental regulation and renewal, and the failure to obtain renewal would cause all or part of our operations to be suspended and may have a material adverse effect on our financial condition.</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3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the affiliated entities becomes the subject of a bankruptcy or liquidation proceeding, we may lose the ability to use and enjoy assets held by such entity, which could materially and adversely affect our business, financial condition and results of operations.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COVID-19 pandemic adversely affected and similar pandemics could adversely affect the operations of our system, in-person oil and gas services and results of our business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Doing Business in China</w:t>
      </w:r>
    </w:p>
    <w:p>
      <w:pPr>
        <w:spacing w:after="0" w:line="171" w:lineRule="exact"/>
        <w:rPr>
          <w:sz w:val="20"/>
          <w:szCs w:val="20"/>
          <w:color w:val="auto"/>
        </w:rPr>
      </w:pPr>
    </w:p>
    <w:p>
      <w:pPr>
        <w:ind w:left="620" w:hanging="126"/>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China’s economic, political, or social conditions or government policies could affect the business environment in which we operate.</w:t>
      </w:r>
    </w:p>
    <w:p>
      <w:pPr>
        <w:spacing w:after="0" w:line="167" w:lineRule="exact"/>
        <w:rPr>
          <w:rFonts w:ascii="Times New Roman" w:cs="Times New Roman" w:eastAsia="Times New Roman" w:hAnsi="Times New Roman"/>
          <w:sz w:val="14"/>
          <w:szCs w:val="14"/>
          <w:color w:val="auto"/>
        </w:rPr>
      </w:pPr>
    </w:p>
    <w:p>
      <w:pPr>
        <w:jc w:val="both"/>
        <w:ind w:firstLine="494"/>
        <w:spacing w:after="0" w:line="255" w:lineRule="auto"/>
        <w:tabs>
          <w:tab w:leader="none" w:pos="64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Chinese government exercises oversight over business activities conducted in China, and changes in applicable laws, regulations, policies or regulatory interpretations could affect our operations and the value of our securities. While we currently do not believe such oversight has materially impacted our business or our ability to offer securities to investors, future regulatory developments could impact our operations and the market price of our securities.</w:t>
      </w:r>
    </w:p>
    <w:p>
      <w:pPr>
        <w:spacing w:after="0" w:line="143"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with respect to the enforcement of laws, and changes in laws and regulations in China with little advance notice, could materially and adversely affect us.</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3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or perceived failure by us to comply with the anti-monopoly and anti-unfair competition laws and regulations may result in governmental investigations or enforcement actions, litigation or claims against us and could have an adverse effect on our business, financial condition and results of operations.</w:t>
      </w:r>
    </w:p>
    <w:p>
      <w:pPr>
        <w:spacing w:after="0" w:line="135" w:lineRule="exact"/>
        <w:rPr>
          <w:rFonts w:ascii="Times New Roman" w:cs="Times New Roman" w:eastAsia="Times New Roman" w:hAnsi="Times New Roman"/>
          <w:sz w:val="14"/>
          <w:szCs w:val="14"/>
          <w:color w:val="auto"/>
        </w:rPr>
      </w:pPr>
    </w:p>
    <w:p>
      <w:pPr>
        <w:jc w:val="both"/>
        <w:ind w:firstLine="494"/>
        <w:spacing w:after="0" w:line="255" w:lineRule="auto"/>
        <w:tabs>
          <w:tab w:leader="none" w:pos="62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PRC regulations of loans to and direct investment in PRC entities by offshore holding companies and governmental regulation of currency conversion may delay or prevent us from using the proceeds from our subsequent offerings to make loans or additional capital contributions to our PRC subsidiary, which could materially and adversely affect our liquidity and our ability to fund and expand our business.</w:t>
      </w:r>
    </w:p>
    <w:p>
      <w:pPr>
        <w:spacing w:after="0" w:line="143" w:lineRule="exact"/>
        <w:rPr>
          <w:rFonts w:ascii="Times New Roman" w:cs="Times New Roman" w:eastAsia="Times New Roman" w:hAnsi="Times New Roman"/>
          <w:sz w:val="14"/>
          <w:szCs w:val="14"/>
          <w:color w:val="auto"/>
        </w:rPr>
      </w:pPr>
    </w:p>
    <w:p>
      <w:pPr>
        <w:ind w:firstLine="494"/>
        <w:spacing w:after="0" w:line="266" w:lineRule="auto"/>
        <w:tabs>
          <w:tab w:leader="none" w:pos="6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or perceived failure by us to comply with the 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affected by the currency conversion system.</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1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remit the offering proceeds to China before they may be used to benefit our business in China, and we cannot assure that we can finish all necessary governmental registration processes in a timely manner.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2" w:name="page13"/>
    <w:bookmarkEnd w:id="12"/>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exposed to liabilities under the Foreign Corrupt Practices Act and Chinese anti-corruption law.</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Evolution with respect to the PRC legal system could affect our business operations.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exchange rates could have a material and adverse effect on our results of operations and the value of your investment.</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or perceived failure by us to comply with the PRC Foreign Investment Law may impact the viability of our current corporate structure and operations.</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3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become subject to the scrutiny, criticism and negative publicity involving U.S.-listed Chinese companies, we may have to expend significant resources to investigate and resolve such matters, which could harm our business operations, stock price and reputation.</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1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35" w:lineRule="exact"/>
        <w:rPr>
          <w:rFonts w:ascii="Times New Roman" w:cs="Times New Roman" w:eastAsia="Times New Roman" w:hAnsi="Times New Roman"/>
          <w:sz w:val="14"/>
          <w:szCs w:val="14"/>
          <w:color w:val="auto"/>
        </w:rPr>
      </w:pPr>
    </w:p>
    <w:p>
      <w:pPr>
        <w:jc w:val="both"/>
        <w:ind w:firstLine="494"/>
        <w:spacing w:after="0" w:line="255" w:lineRule="auto"/>
        <w:tabs>
          <w:tab w:leader="none" w:pos="6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Class A Ordinary Shares may be subject to delisting.</w:t>
      </w:r>
    </w:p>
    <w:p>
      <w:pPr>
        <w:spacing w:after="0" w:line="143"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labor costs in the PRC may adversely affect our business and our profitability.</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make adequate contributions to various employee benefits plans as required by PRC regulations may subject us to penalties.</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2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PRC regulations regarding the registration requirements for employee stock incentive plans may subject the PRC plan participants or us to fines and other legal or administrative sanctions.</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experience difficulties in effecting service of legal process, enforcing foreign judgments or bringing actions in China against us or our management named in this annual report based on foreign laws.</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incur additional costs and procedural obstacles in effecting service of legal process, enforcing foreign judgments or bringing actions in Hong Kong against us or our management named in this annual report based on Hong Kong laws.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for overseas regulators to directly conduct investigation or collect evidence within China.</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be difficult for overseas shareholders and/or regulators to conduct investigations or collect evidence within Hong Kong.</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1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PRC Enterprise Income Tax Law, or the EIT Law, we may be classified as a “resident enterprise” of China, which could result in unfavorable tax consequences to us and our non-PRC shareholders.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be subject to PRC income tax on dividends from us or on any gain realized on the transfer of our Class A Ordinary Shares.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risks associated with historical equity transfers and unpaid tax liabilities.</w:t>
      </w:r>
    </w:p>
    <w:p>
      <w:pPr>
        <w:spacing w:after="0" w:line="167" w:lineRule="exact"/>
        <w:rPr>
          <w:rFonts w:ascii="Times New Roman" w:cs="Times New Roman" w:eastAsia="Times New Roman" w:hAnsi="Times New Roman"/>
          <w:sz w:val="14"/>
          <w:szCs w:val="14"/>
          <w:color w:val="auto"/>
        </w:rPr>
      </w:pPr>
    </w:p>
    <w:p>
      <w:pPr>
        <w:jc w:val="both"/>
        <w:ind w:firstLine="494"/>
        <w:spacing w:after="0" w:line="255" w:lineRule="auto"/>
        <w:tabs>
          <w:tab w:leader="none" w:pos="6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3" w:name="page14"/>
    <w:bookmarkEnd w:id="13"/>
    <w:p>
      <w:pPr>
        <w:ind w:left="620" w:hanging="126"/>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PRC property-related laws and regulations regarding certain of our leased properties may adversely affect our business, financial condition and results of operations.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administrative penalty if we fail to register the correct business address.</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chops of our PRC subsidiaries are not kept safely, are stolen or are used by unauthorized persons or for unauthorized purposes, the corporate governance of these entities could be severely and adversely compromised.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Class A Ordinary Shares</w:t>
      </w:r>
    </w:p>
    <w:p>
      <w:pPr>
        <w:spacing w:after="0" w:line="171" w:lineRule="exact"/>
        <w:rPr>
          <w:sz w:val="20"/>
          <w:szCs w:val="20"/>
          <w:color w:val="auto"/>
        </w:rPr>
      </w:pPr>
    </w:p>
    <w:p>
      <w:pPr>
        <w:ind w:firstLine="494"/>
        <w:spacing w:after="0" w:line="266" w:lineRule="auto"/>
        <w:tabs>
          <w:tab w:leader="none" w:pos="63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dual-class voting structure will limit your ability to influence corporate matters and could discourage others from pursuing any change of control transactions that holders of our Class B Ordinary Shares may view as beneficial.</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3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future sales of our Class A Ordinary Shares or the anticipation of future sales of our Class A Ordinary Shares in the public market could cause the price of our Class A Ordinary Shares to decline.</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2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historically declared or paid dividends on our Ordinary Shares and, consequently, your ability to achieve a return on your investment will primarily depend on appreciation in the price of our Ordinary Shares.</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1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our business, or if they publish negative reports regarding our Class A Ordinary Shares or business operations, the price and/or trading volume of our Class A Ordinary Shares could decline.</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our Class A Ordinary Shares has been and will likely continue to be volatile, which could result in substantial losses to investors.</w:t>
      </w:r>
    </w:p>
    <w:p>
      <w:pPr>
        <w:spacing w:after="0" w:line="167" w:lineRule="exact"/>
        <w:rPr>
          <w:rFonts w:ascii="Times New Roman" w:cs="Times New Roman" w:eastAsia="Times New Roman" w:hAnsi="Times New Roman"/>
          <w:sz w:val="14"/>
          <w:szCs w:val="14"/>
          <w:color w:val="auto"/>
        </w:rPr>
      </w:pPr>
    </w:p>
    <w:p>
      <w:pPr>
        <w:ind w:firstLine="494"/>
        <w:spacing w:after="0" w:line="266" w:lineRule="auto"/>
        <w:tabs>
          <w:tab w:leader="none" w:pos="61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are an “emerging growth company,” we may not be subject to requirements that other public companies are subject to, which could affect investor confidence in us and our Class A Ordinary Shares.</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0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has broad discretion to determine how to use the funds raised in the offering and may use them in ways that may not enhance our results of operations or the price of our Class A Ordinary Shares.</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incur significant costs as a result of being a public company, particularly after we cease to qualify as an “emerging growth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4" w:name="page15"/>
    <w:bookmarkEnd w:id="14"/>
    <w:p>
      <w:pPr>
        <w:ind w:firstLine="494"/>
        <w:spacing w:after="0" w:line="266" w:lineRule="auto"/>
        <w:tabs>
          <w:tab w:leader="none" w:pos="61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cease to qualify as a foreign private issuer, we would be required to comply fully with the reporting requirements of the Securities Exchange Act applicable to U.S. domestic issuers, and we would incur significant additional legal, accounting and other expenses that we would not incur as a foreign private issuer.</w:t>
      </w:r>
    </w:p>
    <w:p>
      <w:pPr>
        <w:spacing w:after="0" w:line="135" w:lineRule="exact"/>
        <w:rPr>
          <w:rFonts w:ascii="Times New Roman" w:cs="Times New Roman" w:eastAsia="Times New Roman" w:hAnsi="Times New Roman"/>
          <w:sz w:val="14"/>
          <w:szCs w:val="14"/>
          <w:color w:val="auto"/>
        </w:rPr>
      </w:pPr>
    </w:p>
    <w:p>
      <w:pPr>
        <w:ind w:firstLine="494"/>
        <w:spacing w:after="0" w:line="266" w:lineRule="auto"/>
        <w:tabs>
          <w:tab w:leader="none" w:pos="60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foreign private issuer, we are not subject to certain U.S. securities law disclosure requirements that apply to a domestic U.S. issuer, and are exempt from certain Nasdaq corporate governance standards applicable to U.S. issuers, which may limit the information publicly available to our investors and afford them less protection than if we were a U.S issuer.</w:t>
      </w:r>
    </w:p>
    <w:p>
      <w:pPr>
        <w:spacing w:after="0" w:line="135"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classified as a passive foreign investment company, United States taxpayers who own our Class A Ordinary Shares may have adverse United States federal income tax consequences.</w:t>
      </w:r>
    </w:p>
    <w:p>
      <w:pPr>
        <w:spacing w:after="0" w:line="178" w:lineRule="exact"/>
        <w:rPr>
          <w:rFonts w:ascii="Times New Roman" w:cs="Times New Roman" w:eastAsia="Times New Roman" w:hAnsi="Times New Roman"/>
          <w:sz w:val="13"/>
          <w:szCs w:val="13"/>
          <w:color w:val="auto"/>
        </w:rPr>
      </w:pPr>
    </w:p>
    <w:p>
      <w:pPr>
        <w:ind w:left="620" w:hanging="126"/>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of the Cayman Islands may not provide our shareholders with benefits comparable to those provided to shareholders of corporations incorporated in the United States.</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Anti-takeover provisions in our amended and restated memorandum and articles of association may discourage, delay, or prevent a change in control.</w:t>
      </w:r>
    </w:p>
    <w:p>
      <w:pPr>
        <w:spacing w:after="0" w:line="167" w:lineRule="exact"/>
        <w:rPr>
          <w:rFonts w:ascii="Times New Roman" w:cs="Times New Roman" w:eastAsia="Times New Roman" w:hAnsi="Times New Roman"/>
          <w:sz w:val="14"/>
          <w:szCs w:val="14"/>
          <w:color w:val="auto"/>
        </w:rPr>
      </w:pPr>
    </w:p>
    <w:p>
      <w:pPr>
        <w:ind w:left="620" w:hanging="126"/>
        <w:spacing w:after="0"/>
        <w:tabs>
          <w:tab w:leader="none" w:pos="6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be unable to present proposals before annual general meetings or extraordinary general meetings not called by shareholders.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Permissions or Approval Required from the PRC Authorities for Our Operation and Offering</w:t>
      </w:r>
    </w:p>
    <w:p>
      <w:pPr>
        <w:spacing w:after="0" w:line="171"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Our PRC legal counsel, Jingtian &amp; Gongcheng, has advised us that, in order to operate our business activities as currently conducted in China, the PRC subsidiaries are required to obtain a business license from the State Administration for Market Regulation (the “</w:t>
      </w:r>
      <w:r>
        <w:rPr>
          <w:rFonts w:ascii="Times New Roman" w:cs="Times New Roman" w:eastAsia="Times New Roman" w:hAnsi="Times New Roman"/>
          <w:sz w:val="14"/>
          <w:szCs w:val="14"/>
          <w:b w:val="1"/>
          <w:bCs w:val="1"/>
          <w:color w:val="auto"/>
        </w:rPr>
        <w:t>SAMR</w:t>
      </w:r>
      <w:r>
        <w:rPr>
          <w:rFonts w:ascii="Times New Roman" w:cs="Times New Roman" w:eastAsia="Times New Roman" w:hAnsi="Times New Roman"/>
          <w:sz w:val="14"/>
          <w:szCs w:val="14"/>
          <w:color w:val="auto"/>
        </w:rPr>
        <w:t>”). As of the date of this prospectus, as confirmed by Jingtian &amp; Gongcheng, our PRC legal counsel, each of our PRC subsidiaries has obtained a valid business license from the SAMR and no application for any such license has been denied. However, it is uncertain whether we or our PRC subsidiaries will be required to obtain additional approvals, licenses, or permits in connection with our business operations pursuant to evolving PRC laws and regulations, and whether we would be able to obtain and renew such approvals on a timely basis or at all. Failing to do so could result in a material change in our operations, and the value of our securities could depreciate significantly or become worthless. As of the date of this prospectus, our PRC counsel, Jingtian &amp; Gongcheng, has advised us that neither we nor any of the PRC subsidiaries is subject to approval requirements from any PRC authorities to approve our operations, and or has been denied such permissions by any PRC authorities.</w:t>
      </w:r>
    </w:p>
    <w:p>
      <w:pPr>
        <w:spacing w:after="0" w:line="149" w:lineRule="exact"/>
        <w:rPr>
          <w:sz w:val="20"/>
          <w:szCs w:val="20"/>
          <w:color w:val="auto"/>
        </w:rPr>
      </w:pPr>
    </w:p>
    <w:p>
      <w:pPr>
        <w:jc w:val="both"/>
        <w:ind w:firstLine="492"/>
        <w:spacing w:after="0" w:line="246" w:lineRule="auto"/>
        <w:rPr>
          <w:sz w:val="20"/>
          <w:szCs w:val="20"/>
          <w:color w:val="auto"/>
        </w:rPr>
      </w:pPr>
      <w:r>
        <w:rPr>
          <w:rFonts w:ascii="Times New Roman" w:cs="Times New Roman" w:eastAsia="Times New Roman" w:hAnsi="Times New Roman"/>
          <w:sz w:val="14"/>
          <w:szCs w:val="14"/>
          <w:color w:val="auto"/>
        </w:rPr>
        <w:t>However, the General Office of the Central Committee of the Communist Party of China and the General Office of the State Council jointly issued the “Opinions on Severely Cracking Down on Illegal Securities Activities According to Law,” or the “Opinions,” which were made available to the public on July 6, 2021. The Opinions emphasized the need to strengthen the administration over illegal securities activities and the need to strengthen the supervision over overseas listings by Chinese companies. These opinions proposed to take effective measures, such as promoting the construction of relevant regulatory systems, to deal with the risks and incidents facing China-concept overseas-listed companies and the demand for cybersecurity and data privacy protection. On February 17, 2023, the CSRC promulgated the Trial Measures and five supporting guidelines, which came into effective on March 31, 2023. The Overseas Listing Trial Measures regulate both direct and indirect overseas offering and listing by PRC domestic companies by adopting a filing-based regulatory regime. According to the Trial Measures, an issuer that issues securities in the same overseas market after its overseas offering and listing shall file with the CSRC within three (3) working days after the completion of the offering. Failure to comply with the filing requirements may result in the company being ordered to make corrections, issued a warning, and imposed a fines. If a domestic company fails to complete required filing procedures or conceals any material fact or falsifies any major content in its filing documents, such domestic company may be subject to administrative penalties, such as an order to rectify, warnings, and fines, and its controlling shareholders, actual controllers, the person directly in charge and other directly liable persons may also be subject to administrative penalties, such as warnings and fines. See also “</w:t>
      </w:r>
      <w:r>
        <w:rPr>
          <w:rFonts w:ascii="Times New Roman" w:cs="Times New Roman" w:eastAsia="Times New Roman" w:hAnsi="Times New Roman"/>
          <w:sz w:val="14"/>
          <w:szCs w:val="14"/>
          <w:i w:val="1"/>
          <w:iCs w:val="1"/>
          <w:color w:val="auto"/>
        </w:rPr>
        <w:t>Item 3. Key Information—D. Risk Factors—Risks Related to Doing Business in China—The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r>
        <w:rPr>
          <w:rFonts w:ascii="Times New Roman" w:cs="Times New Roman" w:eastAsia="Times New Roman" w:hAnsi="Times New Roman"/>
          <w:sz w:val="14"/>
          <w:szCs w:val="14"/>
          <w:color w:val="auto"/>
        </w:rPr>
        <w:t>” for more details in our 2025 Annual Report.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5" w:name="page16"/>
    <w:bookmarkEnd w:id="15"/>
    <w:p>
      <w:pPr>
        <w:jc w:val="both"/>
        <w:ind w:firstLine="492"/>
        <w:spacing w:after="0" w:line="246" w:lineRule="auto"/>
        <w:rPr>
          <w:sz w:val="20"/>
          <w:szCs w:val="20"/>
          <w:color w:val="auto"/>
        </w:rPr>
      </w:pPr>
      <w:r>
        <w:rPr>
          <w:rFonts w:ascii="Times New Roman" w:cs="Times New Roman" w:eastAsia="Times New Roman" w:hAnsi="Times New Roman"/>
          <w:sz w:val="14"/>
          <w:szCs w:val="14"/>
          <w:color w:val="auto"/>
        </w:rPr>
        <w:t>On February 24, 2023, the CSRC, together with the MOF, National Administration of State Secrets Protection and National Archives Administration of China, revised the Provisions on Strengthening Confidentiality and Archives Administration for Overseas Securities Offering and Listing, which were issued by the CSRC and National Administration of State Secrets Protection and National Archives Administration of China in 2009, or the “Provisions.”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provide, publicly disclose to relevant individuals or entities, including securities companies, securities service providers, and overseas regulators, or provide, publicly disclose any documents and materials that contain state secrets or working secrets of government agencies through its overseas listed entity, shall first obtain approval from competent authorities according to law, and file with the secrecy administrative department at the same level; and (b) a domestic company that plans to provide, publicly disclose to relevant individuals and entities, including securities companies, securities service providers, and overseas regulators, or provide, publicly disclose any other documents and materials that, if leaked, will be detrimental to national security or public interest through its overseas listed entity, shall strictly fulfill relevant procedures stipulated by applicable national regulations. Any failure or perceived failure by our Company, or our PRC subsidiaries to comply with the above confidentiality and archives administration requirements under the revised Provisions and other PRC laws and regulations may result in the relevant entities being held legally liable by competent authorities; where a suspected crime is involved, the case shall be transferred to the judicial authorities for criminal investigation according to law.</w:t>
      </w:r>
    </w:p>
    <w:p>
      <w:pPr>
        <w:spacing w:after="0" w:line="154" w:lineRule="exact"/>
        <w:rPr>
          <w:sz w:val="20"/>
          <w:szCs w:val="20"/>
          <w:color w:val="auto"/>
        </w:rPr>
      </w:pPr>
    </w:p>
    <w:p>
      <w:pPr>
        <w:jc w:val="both"/>
        <w:ind w:firstLine="492"/>
        <w:spacing w:after="0" w:line="246" w:lineRule="auto"/>
        <w:rPr>
          <w:sz w:val="20"/>
          <w:szCs w:val="20"/>
          <w:color w:val="auto"/>
        </w:rPr>
      </w:pPr>
      <w:r>
        <w:rPr>
          <w:rFonts w:ascii="Times New Roman" w:cs="Times New Roman" w:eastAsia="Times New Roman" w:hAnsi="Times New Roman"/>
          <w:sz w:val="14"/>
          <w:szCs w:val="14"/>
          <w:color w:val="auto"/>
        </w:rPr>
        <w:t>Additionally, the PRC regulatory requirements regarding cybersecurity are evolving, including adopting new measures to extend the scope of cybersecurity reviews. The Cybersecurity Review Measures, which became effective on February 15, 2022, provide that, in addition to CIIOs that intend to purchase Internet products and services, online platform operators engaging in data processing activities that affect or may affect national security must be subject to cybersecurity review by the Cybersecurity Review Office of the PRC. According to the Cybersecurity Review Measures, a cybersecurity review assesses potential national security risks that may be brought about by any procurement, data processing, or overseas listing. The Cybersecurity Review Measures further require that CIIOs and online platform operators that possess personal data of at least one million users must apply for a review by the Cybersecurity Review Office of the PRC before conducting listings in foreign countries. As of the date of this prospectus, we have not received any notice from any authorities identifying any of our PRC subsidiaries as a CIIO or requiring us to go through cybersecurity review or network data security review by the CAC. As confirmed by our PRC counsel, Jingtian &amp; Gongcheng, we are not subject to cybersecurity review or network data security review by the CAC under the Cybersecurity Review Measures,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There remains uncertainty, however, as to how the Cybersecurity Review Measures will be interpreted or implemented and whether PRC regulations over data security, particularly for companies listed on a non-Chinese stock exchange, could adversely impact our PRC subsidiaries’ business and our future securities offerings. For more detailed information, see also “</w:t>
      </w:r>
      <w:r>
        <w:rPr>
          <w:rFonts w:ascii="Times New Roman" w:cs="Times New Roman" w:eastAsia="Times New Roman" w:hAnsi="Times New Roman"/>
          <w:sz w:val="14"/>
          <w:szCs w:val="14"/>
          <w:i w:val="1"/>
          <w:iCs w:val="1"/>
          <w:color w:val="auto"/>
        </w:rPr>
        <w:t>Item 3. Key Information—D. Risk Factors— Risks Related to Doing Business in China—In light of recent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r>
        <w:rPr>
          <w:rFonts w:ascii="Times New Roman" w:cs="Times New Roman" w:eastAsia="Times New Roman" w:hAnsi="Times New Roman"/>
          <w:sz w:val="14"/>
          <w:szCs w:val="14"/>
          <w:color w:val="auto"/>
        </w:rPr>
        <w:t>” in our 2025 Annual Report.</w:t>
      </w:r>
    </w:p>
    <w:p>
      <w:pPr>
        <w:spacing w:after="0" w:line="15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Other than the foregoing, as of the date of this prospectus and as confirmed by our PRC counsel, Jingtian &amp; Gongcheng, we believe no relevant laws or regulations in the PRC explicitly require us to seek approval from CSRC or any other PRC governmental authorities for our securities offering plan, nor have we (including any of our subsidiaries) received any inquiry, notice, warning or sanctions regarding our planned offering of securities from the CSRC, CAC or any other PRC governmental authorities.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6" w:name="page17"/>
    <w:bookmarkEnd w:id="16"/>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To operate business activities in Hong Kong, every company must register its business with the Business Registration Office of the Inland Revenue Department in Hong Kong and make an application for business registration within one month of commencement of business. Any person who fails to comply is subject to a maximum fine of HK$5,000 and one year of imprisonment. As of the date of this prospectus, our Hong Kong subsidiaries have obtained valid business registration certificates. There is no statutory or mandatory permission or regulatory approval required for the provision of customized servers and ancillary software and services in Hong Kong. As of the date of this prospectus, neither we nor our Hong Kong subsidiaries are required to obtain (i) any permission or approval from Hong Kong authorities to offer the securities being registered to foreign investors outside Hong Kong, or (ii) any permission or approval from Hong Kong authorities to operate their business except for the aforementioned business registration certificates. However, it is uncertain whether we or our Hong Kong subsidiaries will be required to obtain additional permissions or approval from Hong Kong authorities to operate business or offer securities to foreign investors in the future, and whether we would be able to obtain such permissions or approvals. If we are unable to obtain such permissions or approvals if required in the future because applicable laws, regulations, or interpretations change, or inadvertently conclude that such permissions or approvals are not required, then the value of our Class A Ordinary Shares may depreciate significantly or become worthless.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Transfers Between Our Company and Our Subsidiaries</w:t>
      </w:r>
    </w:p>
    <w:p>
      <w:pPr>
        <w:spacing w:after="0" w:line="171"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We have established controls and procedures for cash flows within our Group based on internal cash management policies developed by our finance department and approved by our senior management. Acting under the direction of senior management, our finance department supervises cash management, establishes cash operation plans, and coordinates cash management matters among the Company’s subsidiaries and departments. Based on operational needs, each subsidiary and department may submit cash requests from time to time to the finance department, specifying the expected amount and timing of such requests. The finance department reviews the compliance and reasonableness of such requests and, where appropriate, compiles a summary for senior management’s consideration, and senior management evaluates and approves the allocation and transfer of cash based on the Company’s available funds and the relative priority of funding needs. In the course of fund transfers and cash flow management, the Group complies with applicable laws and regulations of the People’s Republic of China.</w:t>
      </w:r>
    </w:p>
    <w:p>
      <w:pPr>
        <w:spacing w:after="0" w:line="147"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Currently, we also comply with applicable PRC laws and regulations in managing our cash flows and how funds are transferred within our Group. In addition, our PRC subsidiaries generate their revenue primarily in Renminbi, and cash transfers from our PRC subsidiaries to their parent companies outside of China are subject to PRC government regulation of currency conversion. As a result, any restriction on currency exchange may limit the ability of our PRC subsidiaries to pay dividends to Leishen Cayman. To the extent cash or assets in the business is in the PRC or a PRC entity, the funds and assets may not be available to fund operations or for other use outside of mainland China due to Chinese government’s regulation and limitations on the ability of Leishen Cayman or its subsidiaries by the PRC government to transfer cash or assets. See “</w:t>
      </w:r>
      <w:r>
        <w:rPr>
          <w:rFonts w:ascii="Times New Roman" w:cs="Times New Roman" w:eastAsia="Times New Roman" w:hAnsi="Times New Roman"/>
          <w:sz w:val="14"/>
          <w:szCs w:val="14"/>
          <w:i w:val="1"/>
          <w:iCs w:val="1"/>
          <w:color w:val="auto"/>
        </w:rPr>
        <w:t>Item 3. Key Information—D. Risk Factors—Risks Related to Doing Business in China—PRC regulations of loans to and direct investment in PRC entities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offshore holding companies and governmental regulation of currency conversion may delay or prevent us from using the proceeds of this offering to make loans or additional capital contributions to our PRC subsidiary, which could materially and adversely affect our liquidity and our ability to fund and expand our business</w:t>
      </w:r>
      <w:r>
        <w:rPr>
          <w:rFonts w:ascii="Times New Roman" w:cs="Times New Roman" w:eastAsia="Times New Roman" w:hAnsi="Times New Roman"/>
          <w:sz w:val="14"/>
          <w:szCs w:val="14"/>
          <w:color w:val="auto"/>
        </w:rPr>
        <w:t>” for more details in our 2025 Annual Report. As of the date of this prospectus,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than the transfer of proceeds of the Company’s initial public offering (the “</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of $5.4 million from the Company to the Chinese subsidiaries in December 2024, as well as the administrative fee and share transfer and cash payment in connection with the Company’s reorganization during its IPO, no cash transfer or transfer of other assets has occurred among our Company and our subsidiaries. See our audited consolidated financial statements for the fiscal years ended September 30, 2025 and 2024 in our 2025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or Distributions Made to Our Company and U.S. Investors and Tax Consequences</w:t>
      </w:r>
    </w:p>
    <w:p>
      <w:pPr>
        <w:spacing w:after="0" w:line="171" w:lineRule="exact"/>
        <w:rPr>
          <w:sz w:val="20"/>
          <w:szCs w:val="20"/>
          <w:color w:val="auto"/>
        </w:rPr>
      </w:pPr>
    </w:p>
    <w:p>
      <w:pPr>
        <w:jc w:val="both"/>
        <w:ind w:firstLine="492"/>
        <w:spacing w:after="0" w:line="277" w:lineRule="auto"/>
        <w:rPr>
          <w:sz w:val="20"/>
          <w:szCs w:val="20"/>
          <w:color w:val="auto"/>
        </w:rPr>
      </w:pPr>
      <w:r>
        <w:rPr>
          <w:rFonts w:ascii="Times New Roman" w:cs="Times New Roman" w:eastAsia="Times New Roman" w:hAnsi="Times New Roman"/>
          <w:sz w:val="13"/>
          <w:szCs w:val="13"/>
          <w:color w:val="auto"/>
        </w:rPr>
        <w:t>As of the date of this prospectus, none of our subsidiaries have made any dividends or distributions to Leishen Cayman and Leishen Cayman has not made any dividends or distributions to our shareholders or our subsidiaries. We intend to keep any future earnings to finance the expansion of our business, and we do not anticipate that any cash dividends will be paid in the foreseeable future. Subject to the passive foreign investment company rules, the gross amount of distributions we make to investors with respect to our Class A Ordinary Shares (including the amount of any taxes withheld therefrom) will be taxable as a dividend, to the extent that the distribution is paid out of our current or accumulated earnings and profits, as determined under U.S. federal income tax principles.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7" w:name="page18"/>
    <w:bookmarkEnd w:id="17"/>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Under the Cayman Islands law, a Cayman Islands company may pay a dividend on its shares out of either profit or share premium amount, provided that in no circumstances may a dividend be paid out of share premium if this would result in the company being unable to pay its debts as they fall due in the ordinary course of business.</w:t>
      </w:r>
    </w:p>
    <w:p>
      <w:pPr>
        <w:spacing w:after="0" w:line="136" w:lineRule="exact"/>
        <w:rPr>
          <w:sz w:val="20"/>
          <w:szCs w:val="20"/>
          <w:color w:val="auto"/>
        </w:rPr>
      </w:pPr>
    </w:p>
    <w:p>
      <w:pPr>
        <w:jc w:val="both"/>
        <w:ind w:firstLine="492"/>
        <w:spacing w:after="0" w:line="246" w:lineRule="auto"/>
        <w:rPr>
          <w:sz w:val="20"/>
          <w:szCs w:val="20"/>
          <w:color w:val="auto"/>
        </w:rPr>
      </w:pPr>
      <w:r>
        <w:rPr>
          <w:rFonts w:ascii="Times New Roman" w:cs="Times New Roman" w:eastAsia="Times New Roman" w:hAnsi="Times New Roman"/>
          <w:sz w:val="14"/>
          <w:szCs w:val="14"/>
          <w:color w:val="auto"/>
        </w:rPr>
        <w:t>If we determine to pay dividends on any of our Class A Ordinary Shares in the future, as a holding company, we will be dependent on receipt of funds from our directly-held subsidiaries, Leishen (Holding) Hong Kong, LSE Energy (Saudi), LSE Energy America, Lionize Engineering, and Leishen Hong Kong. These subsidiaries, to the extent they have further directly-owned subsidiaries, will in turn rely on payments made from their subsidiaries, which are our operating entities in mainland China. However, the PRC government imposes control on the conversion of RMB into foreign currencies and the remittance of currencies out of mainland China. For instance, the Circular on Promoting the Reform of Foreign Exchange Management and Improving Authenticity and Compliance Review, issued on January 26, 2017, provides that banks shall, when dealing with dividend remittance transactions from a domestic enterprise to its offshore shareholders of more than $50,000, review the relevant board resolutions, original tax filing form, and audited financial statements of such domestic enterprise based on the principle of genuine transaction. Accordingly, the PRC government has the authority to conduct reviews on cross-border transfer in and out of mainland China, which may impose certain limitations on our ability to transfer funds among our Company, our subsidiaries, and our investors, primarily reflected in the following aspects: (i) we are restricted from injecting capital or providing loans to our PRC subsidiaries, which may adversely affect the operations of our PRC subsidiaries; (ii) our PRC subsidiaries may be restricted from paying dividends to us; and (iii) if we are unable to obtain dividends from our PRC subsidiaries, it may adversely impact dividend distributions, if any, to our investors. See also “</w:t>
      </w:r>
      <w:r>
        <w:rPr>
          <w:rFonts w:ascii="Times New Roman" w:cs="Times New Roman" w:eastAsia="Times New Roman" w:hAnsi="Times New Roman"/>
          <w:sz w:val="14"/>
          <w:szCs w:val="14"/>
          <w:i w:val="1"/>
          <w:iCs w:val="1"/>
          <w:color w:val="auto"/>
        </w:rPr>
        <w:t>Item 3. Key Information—D. Risk Factors—Risks Related to Our Class A Ordinary Shares—We have not historically declared or paid dividends on our Ordinary Shares and, consequently, your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ability to achieve a return on your investment will primarily depend on appreciation in the price of our Ordinary Shares,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Item 3. Key Information—D. Risk Factors—Risks Related to Doing Business in China—PRC regulations relating to offshore investment activities by PRC residents may limit our PRC subsidiaries’ ability to change their registered capital or distribute profits to us or otherwise expose us or our PRC resident beneficial owners to liability and penalties under PRC laws</w:t>
      </w:r>
      <w:r>
        <w:rPr>
          <w:rFonts w:ascii="Times New Roman" w:cs="Times New Roman" w:eastAsia="Times New Roman" w:hAnsi="Times New Roman"/>
          <w:sz w:val="14"/>
          <w:szCs w:val="14"/>
          <w:color w:val="auto"/>
        </w:rPr>
        <w:t>” in our 2025 Annual Report.</w:t>
      </w:r>
    </w:p>
    <w:p>
      <w:pPr>
        <w:spacing w:after="0" w:line="15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Current PRC regulations permit our indirect PRC subsidiaries to pay dividends to our Hong Kong subsidiaries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spacing w:after="0" w:line="145"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The value of the RMB fluctuates and is affected by, among other things, changes in Chinese political and economic conditions. The PRC government also imposes regulation on the conversion of RMB into foreign currencies and the remittance of currencies out of the mainland PRC. Therefore, we may experience difficulties in completing the administrative procedures necessary to obtain and remit foreign currency for the payment of dividends from our profits, if any. Furthermore, if our subsidiaries and the affiliates in the PRC incur debts in the future, the debt instruments may restrict their ability to pay dividends or make other payments. If we or our subsidiaries are unable to receive all of the revenue from our operations through the current contractual arrangements, we may be unable to pay dividends on our Class A Ordinary Shares.</w:t>
      </w:r>
    </w:p>
    <w:p>
      <w:pPr>
        <w:spacing w:after="0" w:line="14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Cash dividends, if any, on our Class A Ordinary Shares, will be paid in U.S. dollars. If we are considered a PRC tax resident enterprise for tax purposes, any dividends we pay to our overseas shareholders may be regarded as China sourced income and as a result may be subject to mainland PRC withholding tax at a rate of up to 10.0%. See “</w:t>
      </w:r>
      <w:r>
        <w:rPr>
          <w:rFonts w:ascii="Times New Roman" w:cs="Times New Roman" w:eastAsia="Times New Roman" w:hAnsi="Times New Roman"/>
          <w:sz w:val="14"/>
          <w:szCs w:val="14"/>
          <w:i w:val="1"/>
          <w:iCs w:val="1"/>
          <w:color w:val="auto"/>
        </w:rPr>
        <w:t>Item 10. Additional Information—E. Taxation-People’s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Republic of China Taxation</w:t>
      </w:r>
      <w:r>
        <w:rPr>
          <w:rFonts w:ascii="Times New Roman" w:cs="Times New Roman" w:eastAsia="Times New Roman" w:hAnsi="Times New Roman"/>
          <w:sz w:val="14"/>
          <w:szCs w:val="14"/>
          <w:color w:val="auto"/>
        </w:rPr>
        <w:t>” in our 2025 Annual Report.</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In order for us to pay dividends to our shareholders, we will rely on payments made from our PRC subsidiaries to our Hong Kong subsidiaries, and the distribution of such payments to our Hong Kong subsidiaries as dividends from the PRC subsidiaries. Certain payments from the PRC subsidiaries to our Hong Kong subsidiaries are subject to PRC taxes, including but not limited to business taxes and VAT and corporate income tax.</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8" w:name="page19"/>
    <w:bookmarkEnd w:id="18"/>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In addition, pursuant to the Double Tax Avoidance Arrangement between Hong Kong and China, if a Hong Kong resident enterprise owns more than 25% of the equity interest of a PRC company at all times during the twelve-month period immediately prior to obtaining a dividend from such company, the 10% withholding tax on the dividend is reduced to 5%, provided that certain other conditions and requirements are satisfied at the discretion of the PRC tax authority. However, based on the Notice on Certain Issues with Respect to the Enforcement of Dividend Provisions in Tax Treaties, issued in 2009 by the SAT, if the PRC tax authorities determine, in their discretion, that a company benefits from the reduced income tax rate due to a structure or arrangement that is primarily tax-driven, the PRC tax authorities may adjust the preferential tax treatment. If our Hong Kong subsidiaries are determined by PRC government authorities as receiving benefits from reduced income tax rates due to a structure or arrangement that is primarily tax-driven, the dividends paid by our PRC subsidiaries to our Hong Kong subsidiaries will be taxed at a higher rate, which will have a material adverse effect on our financial performance. See “</w:t>
      </w:r>
      <w:r>
        <w:rPr>
          <w:rFonts w:ascii="Times New Roman" w:cs="Times New Roman" w:eastAsia="Times New Roman" w:hAnsi="Times New Roman"/>
          <w:sz w:val="14"/>
          <w:szCs w:val="14"/>
          <w:i w:val="1"/>
          <w:iCs w:val="1"/>
          <w:color w:val="auto"/>
        </w:rPr>
        <w:t>Item 3. Key Information—D. Risk Factors—Risks Relating to Doing Business in China—You may be subject to PRC income tax on dividends from us or on any gain realized on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transfer of our Class A Ordinary Shares</w:t>
      </w:r>
      <w:r>
        <w:rPr>
          <w:rFonts w:ascii="Times New Roman" w:cs="Times New Roman" w:eastAsia="Times New Roman" w:hAnsi="Times New Roman"/>
          <w:sz w:val="14"/>
          <w:szCs w:val="14"/>
          <w:color w:val="auto"/>
        </w:rPr>
        <w:t>” in our 2025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Foreign Private Issuer</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As a company with less than $1.235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36" w:lineRule="exact"/>
        <w:rPr>
          <w:sz w:val="20"/>
          <w:szCs w:val="20"/>
          <w:color w:val="auto"/>
        </w:rPr>
      </w:pPr>
    </w:p>
    <w:p>
      <w:pPr>
        <w:ind w:left="500" w:hanging="252"/>
        <w:spacing w:after="0" w:line="266"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present only two years of audited financial statements and only two years of related Management’s Discussion and Analysis of Financial Condition and Results of Operations in our filings with the SEC;</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periodic reports, proxy statements and registration statements;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on executive compensation and stockholder approval of any golden parachute payments not previously approved.</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In addition, Section 107 of the JOBS Act provides that an “emerging growth company” can take advantage of the extended transition period provided in Section 7(a)(2)(B) of the Securities Act of 1933, as amended, or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are a “foreign private issuer,” as defined by the SEC. As a result, in accordance with the rules and regulations of The Nasdaq Stock Market LLC, or Nasdaq, we may comply with home country governance requirements and certain exemptions thereunder rather than complying with Nasdaq corporate governance standards. We may choose to take advantage of the following exemptions afforded to foreign private issuers:</w:t>
      </w:r>
    </w:p>
    <w:p>
      <w:pPr>
        <w:spacing w:after="0" w:line="143" w:lineRule="exact"/>
        <w:rPr>
          <w:sz w:val="20"/>
          <w:szCs w:val="20"/>
          <w:color w:val="auto"/>
        </w:rPr>
      </w:pPr>
    </w:p>
    <w:p>
      <w:pPr>
        <w:ind w:left="500" w:hanging="252"/>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filing quarterly reports on Form 10-Q or provide current reports on Form 8-K disclosing significant events within four days of their occurrence.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Exemption from Section 16 rules regarding sales of ordinary shares by insiders, which will provide less data in this regard than shareholders of U.S. companies that are subject to the Exchange Act.</w:t>
      </w:r>
    </w:p>
    <w:p>
      <w:pPr>
        <w:spacing w:after="0" w:line="178" w:lineRule="exact"/>
        <w:rPr>
          <w:rFonts w:ascii="Times New Roman" w:cs="Times New Roman" w:eastAsia="Times New Roman" w:hAnsi="Times New Roman"/>
          <w:sz w:val="13"/>
          <w:szCs w:val="13"/>
          <w:color w:val="auto"/>
        </w:rPr>
      </w:pPr>
    </w:p>
    <w:p>
      <w:pPr>
        <w:jc w:val="both"/>
        <w:ind w:left="500" w:hanging="252"/>
        <w:spacing w:after="0" w:line="255"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43"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 that our board of directors have a remuneration committee that is composed entirely of independent directors with a written charter addressing the committee’s purpose and responsibilities.</w:t>
      </w:r>
    </w:p>
    <w:p>
      <w:pPr>
        <w:spacing w:after="0" w:line="135" w:lineRule="exact"/>
        <w:rPr>
          <w:rFonts w:ascii="Times New Roman" w:cs="Times New Roman" w:eastAsia="Times New Roman" w:hAnsi="Times New Roman"/>
          <w:sz w:val="14"/>
          <w:szCs w:val="14"/>
          <w:color w:val="auto"/>
        </w:rPr>
      </w:pPr>
    </w:p>
    <w:p>
      <w:pPr>
        <w:jc w:val="both"/>
        <w:ind w:left="500" w:hanging="252"/>
        <w:spacing w:after="0" w:line="255" w:lineRule="auto"/>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Receipt of Nasdaq Notice Regarding Annual Meeting Requirement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On January 16, 2026, we received a letter from the Listing Qualifications Department of Nasdaq notifying us that we were not in compliance with Nasdaq Listing Rule 5620(a), which requires listed companies to hold an annual meeting of shareholders no later than one year after the end of the Company’s fiscal year. In accordance with Nasdaq Listing Rule 5810(c)(2)(G), we were provided 45 calendar days, or until March 2, 2026, to submit a plan to regain compliance. On January 29, 2026, we held our Annual General Meeting (the “</w:t>
      </w:r>
      <w:r>
        <w:rPr>
          <w:rFonts w:ascii="Times New Roman" w:cs="Times New Roman" w:eastAsia="Times New Roman" w:hAnsi="Times New Roman"/>
          <w:sz w:val="13"/>
          <w:szCs w:val="13"/>
          <w:b w:val="1"/>
          <w:bCs w:val="1"/>
          <w:color w:val="auto"/>
        </w:rPr>
        <w:t>AGM</w:t>
      </w:r>
      <w:r>
        <w:rPr>
          <w:rFonts w:ascii="Times New Roman" w:cs="Times New Roman" w:eastAsia="Times New Roman" w:hAnsi="Times New Roman"/>
          <w:sz w:val="13"/>
          <w:szCs w:val="13"/>
          <w:color w:val="auto"/>
        </w:rPr>
        <w:t>”) at our headquarter in Beijing. The proposals and shareholder voting results of the AGM were reported in our current report on Form 6-K filed with the SEC on January 29, 2026. Subsequent to our AGM and on February 2, 2026, we received written confirmation from Nasdaq that we have regained compliance with Nasdaq Listing Rule 5620(a). See “</w:t>
      </w:r>
      <w:r>
        <w:rPr>
          <w:rFonts w:ascii="Times New Roman" w:cs="Times New Roman" w:eastAsia="Times New Roman" w:hAnsi="Times New Roman"/>
          <w:sz w:val="13"/>
          <w:szCs w:val="13"/>
          <w:i w:val="1"/>
          <w:iCs w:val="1"/>
          <w:color w:val="auto"/>
        </w:rPr>
        <w:t>Risk Factors—Risks Relating to our Class A Ordinary Shares—If we cannot continue to satisfy the listing requirements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and other rules of the Nasdaq Capital Market, our securities may be delisted, which could negatively impact the price of our securities and your ability to sell them</w:t>
      </w:r>
      <w:r>
        <w:rPr>
          <w:rFonts w:ascii="Times New Roman" w:cs="Times New Roman" w:eastAsia="Times New Roman" w:hAnsi="Times New Roman"/>
          <w:sz w:val="13"/>
          <w:szCs w:val="13"/>
          <w:color w:val="auto"/>
        </w:rPr>
        <w:t>” in this prospectus for more details.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Adoption of Dual-Class Share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27, 2025, our shareholders approved an amendment and restatement of our memorandum and articles of association to adopt a dual-class share structure:</w:t>
      </w:r>
    </w:p>
    <w:p>
      <w:pPr>
        <w:spacing w:after="0" w:line="167" w:lineRule="exact"/>
        <w:rPr>
          <w:sz w:val="20"/>
          <w:szCs w:val="20"/>
          <w:color w:val="auto"/>
        </w:rPr>
      </w:pPr>
    </w:p>
    <w:p>
      <w:pPr>
        <w:ind w:left="500" w:hanging="252"/>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US$50,000 divided into 50,000,000 ordinary shares of a nominal or par value of US$0.001 each;</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US$500,000 divided into 467,290,000 Class A Ordinary Shares of a nominal or par value of US$0.001 each and 32,710,000 Class B Ordinary Shares of a nominal or par value of US$0.001 each, having the rights and benefits as attributed to them in the Second Restated Memorandum and Articles of Association;</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w:t>
      </w:r>
    </w:p>
    <w:p>
      <w:pPr>
        <w:spacing w:after="0" w:line="167" w:lineRule="exact"/>
        <w:rPr>
          <w:rFonts w:ascii="Times New Roman" w:cs="Times New Roman" w:eastAsia="Times New Roman" w:hAnsi="Times New Roman"/>
          <w:sz w:val="14"/>
          <w:szCs w:val="14"/>
          <w:color w:val="auto"/>
        </w:rPr>
      </w:pPr>
    </w:p>
    <w:p>
      <w:pPr>
        <w:jc w:val="both"/>
        <w:ind w:left="740" w:hanging="246"/>
        <w:spacing w:after="0" w:line="255" w:lineRule="auto"/>
        <w:tabs>
          <w:tab w:leader="none" w:pos="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re-designating, on a one-for-one basis, all of the issued and outstanding Ordinary Shares (except the 6,355,000 and 6,355,000 held by Polar Energy Company Limited and WISE-POWER ENERGY SERVICES CO., LTD., respectively) into Class A Ordinary Shares of a par value of US$0.001 each, each having one (1) vote per share and the other rights attached to it as set out in the Company’s amended and Second Restated Memorandum and Articles of Association.</w:t>
      </w:r>
    </w:p>
    <w:p>
      <w:pPr>
        <w:spacing w:after="0" w:line="143" w:lineRule="exact"/>
        <w:rPr>
          <w:rFonts w:ascii="Times New Roman" w:cs="Times New Roman" w:eastAsia="Times New Roman" w:hAnsi="Times New Roman"/>
          <w:sz w:val="14"/>
          <w:szCs w:val="14"/>
          <w:color w:val="auto"/>
        </w:rPr>
      </w:pPr>
    </w:p>
    <w:p>
      <w:pPr>
        <w:jc w:val="both"/>
        <w:ind w:left="740" w:hanging="246"/>
        <w:spacing w:after="0" w:line="255" w:lineRule="auto"/>
        <w:tabs>
          <w:tab w:leader="none" w:pos="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re-designating, on a one-for-one basis, the 6,355,000 and 6,355,000 Ordinary Shares held by Polar Energy Company Limited and WISE-POWER ENERGY SERVICES CO., LTD., respectively, into Class B Ordinary Shares of a par value of US$0.001 each, each having twenty-five (25) votes per share and the other rights attached to it as set out in the Second Restated Memorandum and Articles of Association;</w:t>
      </w:r>
    </w:p>
    <w:p>
      <w:pPr>
        <w:spacing w:after="0" w:line="143" w:lineRule="exact"/>
        <w:rPr>
          <w:rFonts w:ascii="Times New Roman" w:cs="Times New Roman" w:eastAsia="Times New Roman" w:hAnsi="Times New Roman"/>
          <w:sz w:val="14"/>
          <w:szCs w:val="14"/>
          <w:color w:val="auto"/>
        </w:rPr>
      </w:pPr>
    </w:p>
    <w:p>
      <w:pPr>
        <w:ind w:left="740" w:hanging="246"/>
        <w:spacing w:after="0" w:line="266" w:lineRule="auto"/>
        <w:tabs>
          <w:tab w:leader="none" w:pos="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re-designating, on a one-for-one basis, 20,000,000 of the authorized but unissued Ordinary Shares into Class B Ordinary Shares, each having twenty-five (25) votes per share and the other rights attached to it as set out in the Second Restated Memorandum and Articles of Association; and</w:t>
      </w:r>
    </w:p>
    <w:p>
      <w:pPr>
        <w:spacing w:after="0" w:line="135" w:lineRule="exact"/>
        <w:rPr>
          <w:rFonts w:ascii="Times New Roman" w:cs="Times New Roman" w:eastAsia="Times New Roman" w:hAnsi="Times New Roman"/>
          <w:sz w:val="14"/>
          <w:szCs w:val="14"/>
          <w:color w:val="auto"/>
        </w:rPr>
      </w:pPr>
    </w:p>
    <w:p>
      <w:pPr>
        <w:ind w:left="740" w:hanging="246"/>
        <w:spacing w:after="0" w:line="266" w:lineRule="auto"/>
        <w:tabs>
          <w:tab w:leader="none" w:pos="7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re-designating, on a one-for-one basis, all of the remaining authorized but unissued Ordinary Shares into Class A Ordinary Shares, each having one (1) vote per share and the other rights attached to it as set out in the Second Restated Memorandum and Articles of Association</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Following the adoption of the dual-class share structure, Mr. Hongliang Li, through Polar Energy Company Limited, beneficially owns 50% of our outstanding Class B Ordinary Shares, and Mr. Hongqi Li and Ms. Jin Wu, through Wise-Power Energy Services Co., Ltd., beneficially own the remaining 50% of our outstanding Class B Ordinary Shares. Due to the disparate voting powers associated with our two classes of Ordinary Shares, our directors and officers hold in aggregate approximately 98.66% or more of voting power of our Company as of the date of this 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prospectus, there are 4,315,000 Class A Ordinary Shares and 12,710,000 Class B Ordinary Shares issued and outstanding.</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1"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Investing in our Class A Ordinary Shares involves a high degree of risk. You should carefully consider the risks described below and in Part I, Item 3, D. Risk Factors in our 2025 Annual Report, together with the other information set forth in this prospectus, and in the other documents that we include or incorporate by reference into this prospectus, as updated by our Current Reports on Form 6-K and other filings we make with the SEC, the risk factors described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any applicable prospectus supplement and any risk factors set forth in our other filings with the SEC pursuant to Sections 13(a), 13(c), 14 or 15(d) of the Securities Exchange Act of 1934, as amended, or the Exchange Act, before making a decision about investing in our Class A Ordinary Shares. The risks and uncertainties we have described are not the only ones we face. Additional risks and uncertainties not presently known to us or that we currently deem immaterial may also affect our operations. If any risks actually occur, our business, financial condition and results of operations may be materially and adversely affected. In such an event, the trading price of our Class A Ordinary Shares could decline and you could lose part or all of your investment.</w:t>
      </w:r>
    </w:p>
    <w:p>
      <w:pPr>
        <w:spacing w:after="0" w:line="145" w:lineRule="exact"/>
        <w:rPr>
          <w:sz w:val="20"/>
          <w:szCs w:val="20"/>
          <w:color w:val="auto"/>
        </w:rPr>
      </w:pPr>
    </w:p>
    <w:p>
      <w:pPr>
        <w:jc w:val="both"/>
        <w:ind w:firstLine="492"/>
        <w:spacing w:after="0" w:line="272" w:lineRule="auto"/>
        <w:rPr>
          <w:sz w:val="20"/>
          <w:szCs w:val="20"/>
          <w:color w:val="auto"/>
        </w:rPr>
      </w:pPr>
      <w:r>
        <w:rPr>
          <w:rFonts w:ascii="Times New Roman" w:cs="Times New Roman" w:eastAsia="Times New Roman" w:hAnsi="Times New Roman"/>
          <w:sz w:val="14"/>
          <w:szCs w:val="14"/>
          <w:color w:val="auto"/>
        </w:rPr>
        <w:t>Please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Documents by Reference</w:t>
      </w:r>
      <w:r>
        <w:rPr>
          <w:rFonts w:ascii="Times New Roman" w:cs="Times New Roman" w:eastAsia="Times New Roman" w:hAnsi="Times New Roman"/>
          <w:sz w:val="14"/>
          <w:szCs w:val="14"/>
          <w:color w:val="auto"/>
        </w:rPr>
        <w:t>” for information on where you can find the documents we have filed with or furnished to the SEC and which are incorporated into this prospectus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Industry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global expansion in the oil and gas industry may not succeed, and may adversely affect our business, financial condition, and results of operations.</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Our efforts to expand our operations in the oil and gas industry, including our global expansion initiatives, may not succeed and could adversely affect our business, financial condition, and results of operations.</w:t>
      </w:r>
    </w:p>
    <w:p>
      <w:pPr>
        <w:spacing w:after="0" w:line="136"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As part of our growth strategy, the Company is seeking to expand its presence in the global oil and gas industry, including through the establishment and development of operations outside of our core markets. We have established subsidiaries in the Kingdom of Saudi Arabia and the United States, and intend to further develop our capabilities in these markets, including the design, manufacture and supply of oil and gas equipment and related energy infrastructure products. While we believe these initiatives may position us to benefit from long-term demand in the global energy sector, such expansion exposes us to a number of risks and uncertainties. These include challenges associated with operating in new jurisdictions, such as compliance with local laws and regulations, permitting and licensing requirements, supply chain constraints, and differences in business practices. In addition, our ability to successfully execute our global strategy will depend on our ability to effectively manage capital expenditures, recruit and retain qualified personnel, establish reliable local partnerships, and scale our operations efficiently. The oil and gas industry is also highly competitive and subject to high barrier to entry, cyclical demand, commodity price volatility and evolving energy policies. If we are unable to successfully execute our global expansion strategy or address these challenges, our business, financial condition and results of operations could be materially and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and planned expansion in Saudi Arabia may be adversely affected by regional conflicts and ongoing geopolitical uncertainties.</w:t>
      </w:r>
    </w:p>
    <w:p>
      <w:pPr>
        <w:spacing w:after="0" w:line="171"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We have established a subsidiary and, as of the date of this prospectus, is planning for our operations in the Kingdom of Saudi Arabia as part of our global expansion strategy, and we may continue to increase our investments and operational footprint in the region. However, the Middle East has experienced, and may continue to experience, geopolitical tensions, regional conflicts and security risks that are outside of our control. Such conditions may result in disruptions to our operations, including potential impacts on logistics, supply chains, workforce availability, project timelines and access to infrastructure. In addition, evolving political dynamics, regulatory changes, or shifts in government policies in the region may affect our ability to operate or expand as planned. Heightened geopolitical tensions may also increase costs, including insurance, security, and compliance costs, and may adversely affect investor sentiment or our ability to access capital. If regional instability or geopolitical developments were to escalate or persist, our operations in Saudi Arabia and our broader global business expansion strategy could be materially and adversely affected.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Risks Relating to our Class A Ordinary Shares</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If we cannot continue to satisfy the listing requirements and other rules of the Nasdaq Capital Market, our securities may be delisted, which could negatively impact the price of our securities and your ability to sell them.</w:t>
      </w:r>
    </w:p>
    <w:p>
      <w:pPr>
        <w:spacing w:after="0" w:line="13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Our Class A Ordinary Shares are listed on the Nasdaq Capital Market. We cannot assure you that our securities will continue to be listed on the Nasdaq Capital Market. In order to maintain our listing, we are required to comply with certain rules of the Nasdaq Capital Market, including those relating to corporate governance, such as the requirement to hold an annual meeting of shareholders, as well as other continued listing standards.</w:t>
      </w:r>
    </w:p>
    <w:p>
      <w:pPr>
        <w:spacing w:after="0" w:line="143"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On January 16, 2026, we received a letter from the Listing Qualifications Department of Nasdaq notifying us that we were not in compliance with Nasdaq Listing Rule 5620(a), which requires listed companies to hold an annual meeting of shareholders no later than one year after the end of the Company’s fiscal year. In accordance with Nasdaq Listing Rule 5810(c)(2)(G), we were provided 45 calendar days, or until March 2, 2026, to submit a plan to regain compliance. On January 29, 2026, we held our Annual General Meeting (the “</w:t>
      </w:r>
      <w:r>
        <w:rPr>
          <w:rFonts w:ascii="Times New Roman" w:cs="Times New Roman" w:eastAsia="Times New Roman" w:hAnsi="Times New Roman"/>
          <w:sz w:val="14"/>
          <w:szCs w:val="14"/>
          <w:b w:val="1"/>
          <w:bCs w:val="1"/>
          <w:color w:val="auto"/>
        </w:rPr>
        <w:t>AGM</w:t>
      </w:r>
      <w:r>
        <w:rPr>
          <w:rFonts w:ascii="Times New Roman" w:cs="Times New Roman" w:eastAsia="Times New Roman" w:hAnsi="Times New Roman"/>
          <w:sz w:val="14"/>
          <w:szCs w:val="14"/>
          <w:color w:val="auto"/>
        </w:rPr>
        <w:t>”) at our headquarter in Beijing. The proposals and shareholder voting results of the AGM were reported in our current report on Form 8-K filed with the SEC on January 29, 2026. Subsequent to our AGM and on February 2, 2026, we received written confirmation from Nasdaq that we have regained compliance with Nasdaq Listing Rule 5620(a).</w:t>
      </w:r>
    </w:p>
    <w:p>
      <w:pPr>
        <w:spacing w:after="0" w:line="14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If we are unable to satisfy the Nasdaq Capital Market criteria for maintaining our listing, including the annual meeting requirement or any other continued listing standards, our securities could be subject to delisting.</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Nasdaq Capital Market subsequently delists our securities from trading, we could face significant consequences, including:</w:t>
      </w:r>
    </w:p>
    <w:p>
      <w:pPr>
        <w:spacing w:after="0" w:line="167" w:lineRule="exact"/>
        <w:rPr>
          <w:sz w:val="20"/>
          <w:szCs w:val="20"/>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for market quotations for our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with respect to our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amount of news and analyst coverage;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 and</w:t>
      </w:r>
    </w:p>
    <w:p>
      <w:pPr>
        <w:spacing w:after="0" w:line="167" w:lineRule="exact"/>
        <w:rPr>
          <w:rFonts w:ascii="Times New Roman" w:cs="Times New Roman" w:eastAsia="Times New Roman" w:hAnsi="Times New Roman"/>
          <w:sz w:val="14"/>
          <w:szCs w:val="14"/>
          <w:color w:val="auto"/>
        </w:rPr>
      </w:pPr>
    </w:p>
    <w:p>
      <w:pPr>
        <w:ind w:left="5580" w:right="4120" w:hanging="5332"/>
        <w:spacing w:after="0" w:line="511" w:lineRule="auto"/>
        <w:tabs>
          <w:tab w:leader="none" w:pos="49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harm to our corporate brand and market recognition that may adversely affect our operations and financial performance.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6534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OFFER STATISTICS AND EXPECTED TIMETABLE</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We may sell from time to time pursuant to this prospectus (as may be detailed in one or more prospectus supplements) an indeterminate number of Securities as shall have a maximum aggregate offering price of $150,000,000. The actual price and terms of the Securities that we will offer pursuant hereto will depend on a number of factors that may be relevant as of the time of offer.</w:t>
      </w:r>
    </w:p>
    <w:p>
      <w:pPr>
        <w:spacing w:after="0" w:line="13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Pursuant to General Instruction I.B.5. of Form F-3, in no event will we sell the securities registered on the registration statement to which this prospectus forms a part with a value exceeding one-third of the aggregate market value worldwide of our outstanding common equity held by non-affiliates (which we refer to as our public float) in any 12-month period so long as our public float remains below US$75,000,000.</w:t>
      </w:r>
    </w:p>
    <w:p>
      <w:pPr>
        <w:spacing w:after="0" w:line="14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In the event that subsequent to the effective date of the registration statement of which this prospectus forms a part, the aggregate market value of our outstanding Ordinary Shares held by non-affiliates equals or exceeds $75,000,000, then the one-third limitation on sales under General Instruction I.B.5 of Form F-3 shall not apply to additional sales made pursuant to this registration statement. We will state on the cover of each prospectus supplement the amount of our outstanding Ordinary Shares held by non-affiliates, the amount of securities being offered and the amount of securities sold during the prior 12-calendar-month-period that ends on, and includes, the date of such prospectus supplement.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we offer as set forth in the applicable prospectus supplement(s).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describe the terms of the offering, including the following information, if applicable:</w:t>
      </w:r>
    </w:p>
    <w:p>
      <w:pPr>
        <w:spacing w:after="0" w:line="143" w:lineRule="exact"/>
        <w:rPr>
          <w:sz w:val="20"/>
          <w:szCs w:val="20"/>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dealers or agents;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offering price to the public;</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71" w:lineRule="exact"/>
        <w:rPr>
          <w:sz w:val="20"/>
          <w:szCs w:val="20"/>
          <w:color w:val="auto"/>
        </w:rPr>
      </w:pPr>
    </w:p>
    <w:p>
      <w:pPr>
        <w:jc w:val="both"/>
        <w:ind w:firstLine="492"/>
        <w:spacing w:after="0" w:line="270" w:lineRule="auto"/>
        <w:rPr>
          <w:sz w:val="20"/>
          <w:szCs w:val="20"/>
          <w:color w:val="auto"/>
        </w:rPr>
      </w:pPr>
      <w:r>
        <w:rPr>
          <w:rFonts w:ascii="Times New Roman" w:cs="Times New Roman" w:eastAsia="Times New Roman" w:hAnsi="Times New Roman"/>
          <w:sz w:val="13"/>
          <w:szCs w:val="13"/>
          <w:color w:val="auto"/>
        </w:rPr>
        <w:t>If underwriters are used in the sale, the underwriters will acquire the securities for their own account, including through underwriting, purchase, security lending or repurchase agreements.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offered-securities and will describe any commissions payable to the agent by us. Unless otherwise indicated in the prospectus supplement, any agent will agree to use its reasonable best efforts to solicit purchases for the period of its appointment.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We may sell the securities directly to institutional investors or others who may be deemed to be underwriters within the meaning of the Securities Act with respect to any sale of those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terms of any such sales will be described in the prospectus supplement.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making, stabilization and other transactions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Any underwriter may also engage in stabilizing transactions, syndicate covering transactions and penalty bids in accordance with Rule 104 under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transactions and hedging</w:t>
      </w:r>
    </w:p>
    <w:p>
      <w:pPr>
        <w:spacing w:after="0" w:line="171"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auctions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4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Of course, many pricing methods can and may also be used.</w:t>
      </w:r>
    </w:p>
    <w:p>
      <w:pPr>
        <w:spacing w:after="0" w:line="14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Agents, underwriters, and dealers may be entitled, under agreements entered into with us, to indemnification by us against certain liabilities, including liabilities under the Securities Act.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We are a Cayman Islands exempt company and our affairs are governed by our second amended and restated memorandum and articles of association, as amended from time, and the Companies Act (As Revised) of the Cayman Islands, which we refer to as the Companies Act or the Cayman Islands Companies Act below. As of the date of this prospectus, our authorized share capital is US$500,000 divided into 467,290,000 Class A Ordinary Shares of a nominal or par value of US$0.001 each and 32,710,000 Class B Ordinary Shares of a nominal or par value of US$0.001 each, having the rights and benefits as attributed to them in our second amended and restated memorandum and articles of association. See “</w:t>
      </w:r>
      <w:r>
        <w:rPr>
          <w:rFonts w:ascii="Times New Roman" w:cs="Times New Roman" w:eastAsia="Times New Roman" w:hAnsi="Times New Roman"/>
          <w:sz w:val="14"/>
          <w:szCs w:val="14"/>
          <w:i w:val="1"/>
          <w:iCs w:val="1"/>
          <w:color w:val="auto"/>
        </w:rPr>
        <w:t>Prospectus Summary—Recent Developments—Adoption of Dual-Class Share Structure</w:t>
      </w:r>
      <w:r>
        <w:rPr>
          <w:rFonts w:ascii="Times New Roman" w:cs="Times New Roman" w:eastAsia="Times New Roman" w:hAnsi="Times New Roman"/>
          <w:sz w:val="14"/>
          <w:szCs w:val="14"/>
          <w:color w:val="auto"/>
        </w:rPr>
        <w:t>” in this prospectus for more details.</w:t>
      </w:r>
    </w:p>
    <w:p>
      <w:pPr>
        <w:spacing w:after="0" w:line="14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The following are summaries of material provisions of our second amended and restated memorandum and articles of association and the Companies Act insofar as they relate to the material terms of our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All of our issued and outstanding Ordinary Shares, including both Class A Ordinary Shares and Class B Ordinary Shares are fully paid and non-assessable. Our Ordinary Shares are issued in registered form and are issued when registered in our register of members. Our shareholders who are non-residents of the Cayman Islands may freely hold and vote their Ordinary Shares. Our second amended and restated memorandum and articles of association do not permit us to issue shares or warrants to bearer.</w:t>
      </w:r>
    </w:p>
    <w:p>
      <w:pPr>
        <w:spacing w:after="0" w:line="143"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Subject to the provisions of the Cayman Islands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 No share may be issued at a discount except in accordance with the provisions of the Cayman Islands Companies Act. The directors may refuse to accept any application for shares, and may accept any application in whole or in part, for any reason or for no reason.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provisions of the Cayman Islands Companies Act and any rights attaching to any class or classes of shares under and in accordance with the Articles:</w:t>
      </w:r>
    </w:p>
    <w:p>
      <w:pPr>
        <w:spacing w:after="0" w:line="167" w:lineRule="exact"/>
        <w:rPr>
          <w:sz w:val="20"/>
          <w:szCs w:val="20"/>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directors may declare dividends or distributions out of our funds which are lawfully available for that purpose;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shareholders may, by ordinary resolution, declare dividends but no such dividend shall exceed the amount recommended by the directors.</w:t>
      </w:r>
    </w:p>
    <w:p>
      <w:pPr>
        <w:spacing w:after="0" w:line="167"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Subject to the requirements of the Cayman Islands Companies Act regarding the application of a company’s share premium account and with the sanction of an ordinary resolution, dividends may also be declared and paid out of our profits, realized or unrealized, or from any reserve set aside from profits which our board of directors determine is no longer needed.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 The directors when paying dividends to shareholders may make such payment either in cash or in specie.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provided by the rights attached to a share, no dividend shall bear interest.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Unclaimed Dividend</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dividend that remains unclaimed for a period of six years after it became due for payment shall be forfeited to, and shall cease to remain owing by,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 into Class A Ordinary Share. In no event shall Class A Ordinary Share be convertible into Class B Ordinary Share. Any conversion of Class B Ordinary Shares into Class A Ordinary Shares pursuant to these Articles shall be effected by means of the re-designation and re-classification of each relevant Class B ordinary share as a Class A Ordinary Share.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Holders of our Class A Ordinary Shares and our Class B Ordinary Shares shall, at all times, vote together as one class on all matters submitted to a vote by our shareholders at any general meeting of our company. Each Class A Ordinary Share shall be entitled to one (1) vote, and each Class B Ordinary Share shall be entitled to twenty-five (25) votes, on all matters subject to a vote at general meetings of our company. At any general meeting a resolution put to the vote of the meeting shall be decided by a poll.</w:t>
      </w:r>
    </w:p>
    <w:p>
      <w:pPr>
        <w:spacing w:after="0" w:line="14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Subject to any rights or restrictions as to voting attached to any shares, unless any share carries special voting rights, on a show of hands every shareholder who is present in person and every person representing a shareholder by proxy shall have one vote.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Variation of Rights of Shares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4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 or subsequent to them or the redemption or purchase of any shares of any class by our company. The rights conferred upon the holders of the shares of any class issued shall not be deemed to be varied by the creation or issue of shares with preferred or other rights including, without limitation, the creation of shares with enhanced or weighted voting rights.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Share Capital</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Cayman Islands Companies Act, our shareholders may, by ordinary resolution:</w:t>
      </w:r>
    </w:p>
    <w:p>
      <w:pPr>
        <w:spacing w:after="0" w:line="167" w:lineRule="exact"/>
        <w:rPr>
          <w:sz w:val="20"/>
          <w:szCs w:val="20"/>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share capital by new shares of the amount fixed by that ordinary resolution and with the attached rights, priorities and privileges set out in that ordinary resolution;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our share capital into shares of larger amount than our existing shares;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all or any of our paid up shares into stock, and reconvert that stock into paid up shares of any denomination;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27" w:name="page28"/>
    <w:bookmarkEnd w:id="27"/>
    <w:p>
      <w:pPr>
        <w:ind w:left="500" w:hanging="252"/>
        <w:spacing w:after="0" w:line="266"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p>
      <w:pPr>
        <w:spacing w:after="0" w:line="136"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Subject to the Cayman Islands Companies Act and to any rights for the time being conferred on the shareholders holding a particular class of shares, our shareholders may, by special resolution, reduce its share capital in any way.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transfer agent and registrar for the Ordinary Shares is Transhare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of Shares</w:t>
      </w:r>
    </w:p>
    <w:p>
      <w:pPr>
        <w:spacing w:after="0" w:line="171"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Provided that a transfer of Ordinary Shares complies with applicable rules of Nasdaq Capital Market, a shareholder may transfer Ordinary Shares to another person by completing an instrument of transfer in a common form or in a form prescribed by Nasdaq or in any other form approved by the directors, executed:</w:t>
      </w:r>
    </w:p>
    <w:p>
      <w:pPr>
        <w:spacing w:after="0" w:line="136" w:lineRule="exact"/>
        <w:rPr>
          <w:sz w:val="20"/>
          <w:szCs w:val="20"/>
          <w:color w:val="auto"/>
        </w:rPr>
      </w:pPr>
    </w:p>
    <w:p>
      <w:pPr>
        <w:ind w:left="500" w:hanging="25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Ordinary Shares are fully paid, by or on behalf of that shareholder;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Ordinary Shares are partly paid, by or on behalf of that shareholder and the transferee.</w:t>
      </w:r>
    </w:p>
    <w:p>
      <w:pPr>
        <w:spacing w:after="0" w:line="16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transferor shall be deemed to remain the holder of an Ordinary Share until the name of the transferee is entered into the register of members of the Company.</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Where the Ordinary Shares in question are not listed on or subject to the rules of Nasdaq Capital Market, our board of directors may, in its absolute discretion, decline to register any transfer of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Ordinary Share that has not been fully paid up or is subject to a company lien. Our board of directors may also decline to register any transfer of such Ordinary Share unless:</w:t>
      </w:r>
    </w:p>
    <w:p>
      <w:pPr>
        <w:spacing w:after="0" w:line="156" w:lineRule="exact"/>
        <w:rPr>
          <w:sz w:val="20"/>
          <w:szCs w:val="20"/>
          <w:color w:val="auto"/>
        </w:rPr>
      </w:pPr>
    </w:p>
    <w:p>
      <w:pPr>
        <w:ind w:left="500" w:hanging="25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of such maximum sum as Nasdaq may determine to be payable, or such lesser sum as the directors may from time to time require, is paid to the Company in respect thereof;</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fee not exceeding one dollar is paid to the Company in respect thereof; and</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instrument of transfer is accompanied by the certificate of the Shares to which it relates, and such other evidence as the directors may reasonably require to show the right of the transferor to make the transfer.</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If our directors refuse to register a transfer, they are required, within one month after the date on which the instrument of transfer was lodged, to send to each of the transferor and the transferee notice of such refusal.</w:t>
      </w:r>
    </w:p>
    <w:p>
      <w:pPr>
        <w:spacing w:after="0" w:line="13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The registration of transfers may, on 14 clear calendar days’ notice being given by advertisement in such one or more newspapers or by electronic means, be suspended and our register of members closed at such times and for such periods as our board of directors may from time to time determine. However, the registration of transfers may not be suspended, and the register may not be closed, for more than 30 calendar days in any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Alteration of Share Capital</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Cayman Islands Companies Act, our shareholders may, by ordinary resolution:</w:t>
      </w:r>
    </w:p>
    <w:p>
      <w:pPr>
        <w:spacing w:after="0" w:line="167" w:lineRule="exact"/>
        <w:rPr>
          <w:sz w:val="20"/>
          <w:szCs w:val="20"/>
          <w:color w:val="auto"/>
        </w:rPr>
      </w:pPr>
    </w:p>
    <w:p>
      <w:pPr>
        <w:ind w:left="5580" w:right="1200" w:hanging="5332"/>
        <w:spacing w:after="0" w:line="511" w:lineRule="auto"/>
        <w:tabs>
          <w:tab w:leader="none" w:pos="49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share capital by new shares of the amount fixed by that ordinary resolution and with the attached rights, priorities and privileges set out in that ordinary resolution;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6534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28" w:name="page29"/>
    <w:bookmarkEnd w:id="28"/>
    <w:p>
      <w:pPr>
        <w:ind w:left="500" w:hanging="252"/>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and divide all or any of our share capital into shares of larger amount than our existing shares;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 all or any of our paid up shares into stock, and reconvert that stock into paid up shares of any denomination;</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Subject to the Cayman Islands Companies Act and to any rights for the time being conferred on the shareholders holding a particular class of shares, our shareholders may, by special resolution, reduce its share capital in any way.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Calls on Shares and Forfeiture</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10 percent per annum. The directors may, at their discretion, waive payment of the interest wholly or in part.</w:t>
      </w:r>
    </w:p>
    <w:p>
      <w:pPr>
        <w:spacing w:after="0" w:line="14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We have a first and paramount lien on all shares (whether fully paid up or not) registered in the name of a shareholder (whether solely or jointly with others). The lien is for all monies payable to us by the shareholder or the shareholder’s estate:</w:t>
      </w:r>
    </w:p>
    <w:p>
      <w:pPr>
        <w:spacing w:after="0" w:line="136" w:lineRule="exact"/>
        <w:rPr>
          <w:sz w:val="20"/>
          <w:szCs w:val="20"/>
          <w:color w:val="auto"/>
        </w:rPr>
      </w:pPr>
    </w:p>
    <w:p>
      <w:pPr>
        <w:ind w:left="500" w:hanging="252"/>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alone or jointly with any other person, whether or not that other person is a shareholder;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those monies are presently payable.</w:t>
      </w:r>
    </w:p>
    <w:p>
      <w:pPr>
        <w:spacing w:after="0" w:line="16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the directors may declare any share to be wholly or partly exempt from the lien on shares provisions of the articles.</w:t>
      </w:r>
    </w:p>
    <w:p>
      <w:pPr>
        <w:spacing w:after="0" w:line="16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We may sell, in such manner as the directors may determine, any share on which the sum in respect of which the lien exists is presently payable, if due notice that such sum is payable has been given (as prescribed by the articles) and, within 14 days of the date on which the notice is deemed to be given under the articles, such notice has not been complied with.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Surrender of Shares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directors may accept the surrender for no consideration of any fully paid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Premium Account</w:t>
      </w:r>
    </w:p>
    <w:p>
      <w:pPr>
        <w:spacing w:after="0" w:line="171"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The directors shall establish a share premium account and shall carry the credit of such account from time to time to a sum equal to the amount or value of the premium paid on the issue of any share or capital contributed or such other amounts required by the Cayman Islands Companies Act.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Redemption and Purchase of Own Shares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Cayman Islands Companies Act and any rights for the time being conferred on the shareholders holding a particular class of shares, we may by our directors:</w:t>
      </w:r>
    </w:p>
    <w:p>
      <w:pPr>
        <w:spacing w:after="0" w:line="167" w:lineRule="exact"/>
        <w:rPr>
          <w:sz w:val="20"/>
          <w:szCs w:val="20"/>
          <w:color w:val="auto"/>
        </w:rPr>
      </w:pPr>
    </w:p>
    <w:p>
      <w:pPr>
        <w:ind w:left="500" w:hanging="252"/>
        <w:spacing w:after="0" w:line="266"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that are to be redeemed or liable to be redeemed, at our option or the shareholder holding those redeemable shares, on the terms and in the manner its directors determine before the issue of those shares;</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all or any of our own shares of any class including any redeemable shares on the terms and in the manner which the directors determine at the time of such purchase.</w:t>
      </w:r>
    </w:p>
    <w:p>
      <w:pPr>
        <w:spacing w:after="0" w:line="16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We may make a payment in respect of the redemption or purchase of its own shares in any manner authorized by the Cayman Islands Companies Act, including out of any combination of capital, our profits and the proceeds of a fresh issue of shares.</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Inspection of Books and Records</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Holders of our Ordinary Shares will have no general right under the Cayman Islands Companies Act to inspect or obtain copies of our register of members or our corporate records (other than the memorandum and articles of association and any special resolutions passed by our shareholders, and the register of mortgages and charges of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Meetings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As a Cayman Islands exempted company, we are not obligated by the Cayman Islands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spacing w:after="0" w:line="143" w:lineRule="exact"/>
        <w:rPr>
          <w:sz w:val="20"/>
          <w:szCs w:val="20"/>
          <w:color w:val="auto"/>
        </w:rPr>
      </w:pPr>
    </w:p>
    <w:p>
      <w:pPr>
        <w:jc w:val="both"/>
        <w:ind w:firstLine="492"/>
        <w:spacing w:after="0" w:line="274" w:lineRule="auto"/>
        <w:rPr>
          <w:sz w:val="20"/>
          <w:szCs w:val="20"/>
          <w:color w:val="auto"/>
        </w:rPr>
      </w:pPr>
      <w:r>
        <w:rPr>
          <w:rFonts w:ascii="Times New Roman" w:cs="Times New Roman" w:eastAsia="Times New Roman" w:hAnsi="Times New Roman"/>
          <w:sz w:val="13"/>
          <w:szCs w:val="13"/>
          <w:color w:val="auto"/>
        </w:rPr>
        <w:t>The directors may convene general meetings whenever they think fit. General meetings shall also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21 calendar days’ after the date of receipt of the written requisition, those shareholders who requested the meeting or any of them representing more than one-half of the total voting rights of all of them, may convene the general meeting themselves within three calendar months after the end of such period of 21 calendar days in which case reasonable expenses incurred by them as a result of the directors failing to convene a meeting shall be reimbursed by us.</w:t>
      </w:r>
    </w:p>
    <w:p>
      <w:pPr>
        <w:spacing w:after="0" w:line="13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At least 5 calendar days’ (excluding the day on which it is given or deemed to be given and excluding the day for which it is given) notice of an extraordinary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Subject to the Cayman Islands Companies Act and with the consent of the shareholders who, individually or collectively, hold at least 90 percent of the voting rights of all those who have a right to vote at a general meeting, a general meeting may be convened on shorter notice.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0" w:name="page31"/>
    <w:bookmarkEnd w:id="30"/>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A quorum shall consist of the presence (whether in person or represented by proxy) of one or more shareholders holding shares that represent not less than one-third of the outstanding shares carrying the right to vote at such general meeting.</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The chairman may, with the consent of a meeting at which a quorum is present, adjourn the meeting. When a meeting is adjourned for seven days or more, notice of the adjourned meeting shall be given in accordance with the articles.</w:t>
      </w:r>
    </w:p>
    <w:p>
      <w:pPr>
        <w:spacing w:after="0" w:line="13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10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a poll is duly demanded it shall be taken in such manner as the chairman directs and the result of the poll shall be deemed to be the resolution of the meeting at which the poll was demanded.</w:t>
      </w:r>
    </w:p>
    <w:p>
      <w:pPr>
        <w:spacing w:after="0" w:line="16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We may by ordinary resolution, from time to time, fix the maximum and minimum number of directors to be appointed. Under the Articles, we are required to have a minimum of one director and the maximum number of Directors shall be unlimited.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director may be appointed by ordinary resolution or by the directors. Any appointment may be to fill a vacancy or as an additional director.</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the remuneration of the directors is determined by the shareholders by ordinary resolution, the directors shall be entitled to such remuneration as the directors may determine.</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shareholding qualification for directors may be fixed by our shareholders by ordinary resolution and unless and until so fixed no share qualification shall be required.</w:t>
      </w:r>
    </w:p>
    <w:p>
      <w:pPr>
        <w:spacing w:after="0" w:line="16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Unless removed or re-appointed, each director shall be appointed until the expiration of his or her term or his or her successor shall have been elected or qualified, or until his or her office is otherwise vacated.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director may be removed by ordinary resolution.</w:t>
      </w:r>
    </w:p>
    <w:p>
      <w:pPr>
        <w:spacing w:after="0" w:line="16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A director may at any time resign or retire from office by giving us notice in writing. Unless the notice specifies a different date, the director shall be deemed to have resigned on the date that the notice is delivered to us.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the provisions of the articles, the office of a director may be terminated forthwith if:</w:t>
      </w:r>
    </w:p>
    <w:p>
      <w:pPr>
        <w:spacing w:after="0" w:line="167" w:lineRule="exact"/>
        <w:rPr>
          <w:sz w:val="20"/>
          <w:szCs w:val="20"/>
          <w:color w:val="auto"/>
        </w:rPr>
      </w:pPr>
    </w:p>
    <w:p>
      <w:pPr>
        <w:ind w:left="5580" w:right="4100" w:hanging="5332"/>
        <w:spacing w:after="0" w:line="511" w:lineRule="auto"/>
        <w:tabs>
          <w:tab w:leader="none" w:pos="49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prohibited by the law of the Cayman Islands or the rules of any designated Stock Exchange from acting as a director;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6534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1" w:name="page32"/>
    <w:bookmarkEnd w:id="31"/>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made bankrupt or makes an arrangement or composition with his creditors generally;</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dies or is found to be or becomes of unsound mind;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resigns his office by notice to us;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only held office as a director for a fixed term and such term expires;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opinion of a registered medical practitioner by whom he is being treated he becomes physically or mentally incapable of acting as a director;</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given notice by the majority of the other directors (not being less than two in number) to vacate office (without prejudice to any claim for damages for breach of any agreement relating to the provision of the services of such director);</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is made subject to any law relating to mental health or incompetence, whether by court order or otherwise; or</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the other directors, he is absent from meetings of directors for continuous period of six months.</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Each of the compensation committee and the nominating and corporate governance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of the Exchange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Powers and Duties of Directors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Subject to the provisions of the Cayman Islands Companies Act and our second amended and restated memorandum and articles, our business shall be managed by the directors, who may exercise all our powers. No prior act of the directors shall be invalidated by any subsequent alteration of our second amended and restated memorandum or articles of association. However, to the extent allowed by the Cayman Islands Companies Act, shareholders may by special resolution validate any prior or future act of the directors which would otherwise be in breach of their duties.</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of directors have established an audit committee, compensation committee, and nomination and corporate governance committee.</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spacing w:after="0" w:line="13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board of directors may remove any person so appointed and may revoke or vary the delegation.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2" w:name="page33"/>
    <w:bookmarkEnd w:id="32"/>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spacing w:after="0" w:line="143"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A director who is in any way, whether directly or indirectly, interested in a contract or a proposed contract or arrangement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such contract. A Director may vote in respect of any contract or proposed contract or arrangement notwithstanding that he may be interested therein, and if he does so his vote shall be counted and he may be counted in the quorum at any meeting of the Directors at which any such contract or arrangement shall be considered, provided that (a) the Director has declared the nature of his interest at the earliest practicable time, either specifically or by way of a general notice and (b) if such contract or arrangement is a transaction with a related party, such transaction has been approved by the audit committee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Capitalization of Profits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directors may resolve to capitalize:</w:t>
      </w:r>
    </w:p>
    <w:p>
      <w:pPr>
        <w:spacing w:after="0" w:line="167" w:lineRule="exact"/>
        <w:rPr>
          <w:sz w:val="20"/>
          <w:szCs w:val="20"/>
          <w:color w:val="auto"/>
        </w:rPr>
      </w:pPr>
    </w:p>
    <w:p>
      <w:pPr>
        <w:ind w:left="500" w:hanging="252"/>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 of our profits not required for paying any preferential dividend (whether or not those profits are available for distribution); or</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sum standing to the credit of our share premium account or capital redemption reserve, if any.</w:t>
      </w:r>
    </w:p>
    <w:p>
      <w:pPr>
        <w:spacing w:after="0" w:line="16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resolved to be capitalized must be appropriated to the shareholders who would have been entitled to it had it been distributed by way of dividend and in the same proportions.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71"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If we are wound up, the shareholders may, subject to the articles and any other sanction required by the Cayman Islands Companies Act, pass a special resolution allowing the liquidator to do either or both of the following:</w:t>
      </w:r>
    </w:p>
    <w:p>
      <w:pPr>
        <w:spacing w:after="0" w:line="136" w:lineRule="exact"/>
        <w:rPr>
          <w:sz w:val="20"/>
          <w:szCs w:val="20"/>
          <w:color w:val="auto"/>
        </w:rPr>
      </w:pPr>
    </w:p>
    <w:p>
      <w:pPr>
        <w:ind w:left="500" w:hanging="252"/>
        <w:spacing w:after="0" w:line="266" w:lineRule="auto"/>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divide in specie among the shareholders the whole or any part of our assets and, for that purpose, to value any assets and to determine how the division shall be carried out as between the shareholders or different classes of shareholders; and</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vest the whole or any part of the assets in trustees for the benefit of shareholders and those liable to contribute to the winding up.</w:t>
      </w:r>
    </w:p>
    <w:p>
      <w:pPr>
        <w:spacing w:after="0" w:line="167"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directors have the authority to present a petition for our winding up to the Grand Court of the Cayman Islands on our behalf without the sanction of a resolution passed at a general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 of Members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Under the Cayman Islands Companies Act, we must keep a register of members and there should be entered therein:</w:t>
      </w:r>
    </w:p>
    <w:p>
      <w:pPr>
        <w:spacing w:after="0" w:line="167" w:lineRule="exact"/>
        <w:rPr>
          <w:sz w:val="20"/>
          <w:szCs w:val="20"/>
          <w:color w:val="auto"/>
        </w:rPr>
      </w:pPr>
    </w:p>
    <w:p>
      <w:pPr>
        <w:jc w:val="both"/>
        <w:ind w:left="500" w:hanging="252"/>
        <w:spacing w:after="0" w:line="255" w:lineRule="auto"/>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and addresses of our shareholders, together with a statement of the shares held by each shareholder, and such statement shall confirm (i) the amount paid or agreed to be considered as paid, on the shares of each shareholder;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3" w:name="page34"/>
    <w:bookmarkEnd w:id="33"/>
    <w:p>
      <w:pPr>
        <w:ind w:left="500" w:hanging="25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name of any person was entered on the register as a shareholder;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any person ceased to be a shareholder.</w:t>
      </w:r>
    </w:p>
    <w:p>
      <w:pPr>
        <w:spacing w:after="0" w:line="167"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Under the Cayman Islands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Islands Companies Act to have legal title to the shares as set against its name in the register of members. Upon the completion of the securities offering under the applicable prospectus supplement,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shares set against their name.</w:t>
      </w:r>
    </w:p>
    <w:p>
      <w:pPr>
        <w:spacing w:after="0" w:line="14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The Cayman Islands Companies Act is derived, to a large extent, from the older Companies Acts of England and Wales but does not follow recent United Kingdom statutory enactments, and accordingly there are significant differences between the Cayman Islands Companies Act and the current Companies Act of England and Wales. In addition, the Cayman Islands Companies Act differs from laws applicable to United States corporations and their shareholders. Set forth below is a summary of certain significant differences between the provisions of the Cayman Islands Companies Act applicable to us and the comparable laws applicable to companies incorporated in the State of Delaware in the United States.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Mergers and Similar Arrangements</w:t>
      </w:r>
    </w:p>
    <w:p>
      <w:pPr>
        <w:spacing w:after="0" w:line="171" w:lineRule="exact"/>
        <w:rPr>
          <w:sz w:val="20"/>
          <w:szCs w:val="20"/>
          <w:color w:val="auto"/>
        </w:rPr>
      </w:pPr>
    </w:p>
    <w:p>
      <w:pPr>
        <w:jc w:val="both"/>
        <w:ind w:firstLine="492"/>
        <w:spacing w:after="0" w:line="272" w:lineRule="auto"/>
        <w:rPr>
          <w:sz w:val="20"/>
          <w:szCs w:val="20"/>
          <w:color w:val="auto"/>
        </w:rPr>
      </w:pPr>
      <w:r>
        <w:rPr>
          <w:rFonts w:ascii="Times New Roman" w:cs="Times New Roman" w:eastAsia="Times New Roman" w:hAnsi="Times New Roman"/>
          <w:sz w:val="13"/>
          <w:szCs w:val="13"/>
          <w:color w:val="auto"/>
        </w:rPr>
        <w:t>The Cayman Islands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w:t>
      </w:r>
    </w:p>
    <w:p>
      <w:pPr>
        <w:spacing w:after="0" w:line="1" w:lineRule="exact"/>
        <w:rPr>
          <w:sz w:val="20"/>
          <w:szCs w:val="20"/>
          <w:color w:val="auto"/>
        </w:rPr>
      </w:pPr>
    </w:p>
    <w:p>
      <w:pPr>
        <w:jc w:val="both"/>
        <w:ind w:firstLine="2"/>
        <w:spacing w:after="0" w:line="263" w:lineRule="auto"/>
        <w:tabs>
          <w:tab w:leader="none" w:pos="21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w:t>
      </w:r>
    </w:p>
    <w:p>
      <w:pPr>
        <w:jc w:val="both"/>
        <w:ind w:firstLine="2"/>
        <w:spacing w:after="0" w:line="246" w:lineRule="auto"/>
        <w:tabs>
          <w:tab w:leader="none" w:pos="19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4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consent of each holder of a fixed or floating security interest of a constituent company is required unless this requirement is waived by a court in the Cayman Islands.</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4" w:name="page35"/>
    <w:bookmarkEnd w:id="34"/>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of the Cayman Islands can be expected to approve the arrangement if it determines that:</w:t>
      </w:r>
    </w:p>
    <w:p>
      <w:pPr>
        <w:spacing w:after="0" w:line="146" w:lineRule="exact"/>
        <w:rPr>
          <w:sz w:val="20"/>
          <w:szCs w:val="20"/>
          <w:color w:val="auto"/>
        </w:rPr>
      </w:pPr>
    </w:p>
    <w:p>
      <w:pPr>
        <w:ind w:left="500" w:hanging="25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provisions as to the required majority vote have been met;</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have been fairly represented at the meeting in question and the statutory majority are acting bona fide without coercion of the minority to promote interests adverse to those of the class;</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such that may be reasonably approved by an intelligent and honest man of that class acting in respect of his interest;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arrangement is not one that would more properly be sanctioned under some other provision of the Cayman Islands Companies Act.</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Shareholders’ Suits</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 xml:space="preserve">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4"/>
          <w:szCs w:val="14"/>
          <w:i w:val="1"/>
          <w:iCs w:val="1"/>
          <w:color w:val="auto"/>
        </w:rPr>
        <w:t>Foss v. Harbottle</w:t>
      </w:r>
      <w:r>
        <w:rPr>
          <w:rFonts w:ascii="Times New Roman" w:cs="Times New Roman" w:eastAsia="Times New Roman" w:hAnsi="Times New Roman"/>
          <w:sz w:val="14"/>
          <w:szCs w:val="14"/>
          <w:color w:val="auto"/>
        </w:rPr>
        <w:t xml:space="preserve"> and the exceptions thereto) so that a non-controlling shareholder may be permitted to commence a class action against or derivative actions in the name of the company to challenge:</w:t>
      </w:r>
    </w:p>
    <w:p>
      <w:pPr>
        <w:spacing w:after="0" w:line="145" w:lineRule="exact"/>
        <w:rPr>
          <w:sz w:val="20"/>
          <w:szCs w:val="20"/>
          <w:color w:val="auto"/>
        </w:rPr>
      </w:pPr>
    </w:p>
    <w:p>
      <w:pPr>
        <w:ind w:left="500" w:hanging="252"/>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is illegal or ultra vires with respect to the company and is therefore incapable of ratification by the shareholders;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although not ultra vires, requires authorization by a qualified (or special) majority (that is, more than a simple majority) which has not been obtained;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which constitutes a “fraud on the minority” where the wrongdoers are themselves in control of the company.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color w:val="auto"/>
        </w:rPr>
        <w:t>Indemnification of Directors and Executive Officers and Limitation of Liability</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w:t>
      </w:r>
    </w:p>
    <w:p>
      <w:pPr>
        <w:spacing w:after="0" w:line="145" w:lineRule="exact"/>
        <w:rPr>
          <w:sz w:val="20"/>
          <w:szCs w:val="20"/>
          <w:color w:val="auto"/>
        </w:rPr>
      </w:pPr>
    </w:p>
    <w:p>
      <w:pPr>
        <w:jc w:val="both"/>
        <w:ind w:left="500" w:hanging="252"/>
        <w:spacing w:after="0" w:line="255" w:lineRule="auto"/>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p>
      <w:pPr>
        <w:spacing w:after="0" w:line="143" w:lineRule="exact"/>
        <w:rPr>
          <w:rFonts w:ascii="Times New Roman" w:cs="Times New Roman" w:eastAsia="Times New Roman" w:hAnsi="Times New Roman"/>
          <w:sz w:val="14"/>
          <w:szCs w:val="14"/>
          <w:color w:val="auto"/>
        </w:rPr>
      </w:pPr>
    </w:p>
    <w:p>
      <w:pPr>
        <w:jc w:val="both"/>
        <w:ind w:left="500" w:hanging="252"/>
        <w:spacing w:after="0" w:line="255" w:lineRule="auto"/>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pacing w:after="0" w:line="143"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such existing or former director (including alternate director), secretary or officer, however, shall be indemnified in respect of any matter arising out of his own dishonesty.</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w:t>
      </w:r>
    </w:p>
    <w:p>
      <w:pPr>
        <w:spacing w:after="0" w:line="13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Anti-Takeover Provisions in Our Articles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Some provisions of our articles may discourage, delay or prevent a change in control of our company or management that shareholders may consider favorable, including provisions that authorize our board of directors to issue shares at such times and on such terms and conditions as the board of directors may decide without any further vote or action by our shareholders, and limit the ability of shareholders to requisition and convene general meetings of shareholders.</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Under the Cayman Islands Companies Act, our directors may only exercise the rights and powers granted to them under our articles for what they believe in good faith to be in the best interests of our company and for a proper purpose.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Directors’ Fiduciary Duties</w:t>
      </w:r>
    </w:p>
    <w:p>
      <w:pPr>
        <w:spacing w:after="0" w:line="171"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6" w:name="page37"/>
    <w:bookmarkEnd w:id="36"/>
    <w:p>
      <w:pPr>
        <w:jc w:val="both"/>
        <w:ind w:firstLine="492"/>
        <w:spacing w:after="0" w:line="270" w:lineRule="auto"/>
        <w:rPr>
          <w:sz w:val="20"/>
          <w:szCs w:val="20"/>
          <w:color w:val="auto"/>
        </w:rPr>
      </w:pPr>
      <w:r>
        <w:rPr>
          <w:rFonts w:ascii="Times New Roman" w:cs="Times New Roman" w:eastAsia="Times New Roman" w:hAnsi="Times New Roman"/>
          <w:sz w:val="13"/>
          <w:szCs w:val="13"/>
          <w:color w:val="auto"/>
        </w:rPr>
        <w:t>As a matter of Cayman Islands law, a director owes three types of duties to the company: (i) statutory duties, (ii) fiduciary duties, and (iii) common law duties. The Cayman Islands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Proposals</w:t>
      </w:r>
    </w:p>
    <w:p>
      <w:pPr>
        <w:spacing w:after="0" w:line="171" w:lineRule="exact"/>
        <w:rPr>
          <w:sz w:val="20"/>
          <w:szCs w:val="20"/>
          <w:color w:val="auto"/>
        </w:rPr>
      </w:pPr>
    </w:p>
    <w:p>
      <w:pPr>
        <w:jc w:val="both"/>
        <w:ind w:firstLine="492"/>
        <w:spacing w:after="0" w:line="277" w:lineRule="auto"/>
        <w:rPr>
          <w:sz w:val="20"/>
          <w:szCs w:val="20"/>
          <w:color w:val="auto"/>
        </w:rPr>
      </w:pPr>
      <w:r>
        <w:rPr>
          <w:rFonts w:ascii="Times New Roman" w:cs="Times New Roman" w:eastAsia="Times New Roman" w:hAnsi="Times New Roman"/>
          <w:sz w:val="13"/>
          <w:szCs w:val="13"/>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31"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The Cayman Islands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twenty-one clear days’ after the date of receipt of the written requisition, those shareholders who requested the meeting may convene the general meeting themselves within three months after the end of such period of twenty-one clear days in which case reasonable expenses incurred by them as a result of the directors failing to convene a meeting shall be reimbursed by us. Our articles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such meetings every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Cumulative Voting</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the Cayman Islands Companies Act, our articles do not provide for cumulative voting. As a result, our shareholders are not afforded any less protections or rights on this issue than shareholders of a Delaware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color w:val="auto"/>
        </w:rPr>
        <w:t>Removal of Directors</w:t>
      </w:r>
    </w:p>
    <w:p>
      <w:pPr>
        <w:spacing w:after="0" w:line="171" w:lineRule="exact"/>
        <w:rPr>
          <w:sz w:val="20"/>
          <w:szCs w:val="20"/>
          <w:color w:val="auto"/>
        </w:rPr>
      </w:pPr>
    </w:p>
    <w:p>
      <w:pPr>
        <w:jc w:val="both"/>
        <w:ind w:firstLine="492"/>
        <w:spacing w:after="0" w:line="247" w:lineRule="auto"/>
        <w:rPr>
          <w:sz w:val="20"/>
          <w:szCs w:val="20"/>
          <w:color w:val="auto"/>
        </w:rPr>
      </w:pPr>
      <w:r>
        <w:rPr>
          <w:rFonts w:ascii="Times New Roman" w:cs="Times New Roman" w:eastAsia="Times New Roman" w:hAnsi="Times New Roman"/>
          <w:sz w:val="14"/>
          <w:szCs w:val="14"/>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Subject to the provisions of our articles (which include the removal of a director by ordinary resolution), the office of a director may be terminated forthwith if (a) he is prohibited by the laws of the Cayman Islands or by the rules of any designated stock exchange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dies, is found to be or becomes of unsound mind or is made subject to any law relating to mental health or incompetence, whether by court order or otherwise, or (h) without the consent of the other directors, he is absent from meetings of directors for continuous period of six months; or (i) he otherwise resigns by notice in writing to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Transactions with Interested Shareholders</w:t>
      </w:r>
    </w:p>
    <w:p>
      <w:pPr>
        <w:spacing w:after="0" w:line="171" w:lineRule="exact"/>
        <w:rPr>
          <w:sz w:val="20"/>
          <w:szCs w:val="20"/>
          <w:color w:val="auto"/>
        </w:rPr>
      </w:pPr>
    </w:p>
    <w:p>
      <w:pPr>
        <w:jc w:val="both"/>
        <w:ind w:firstLine="492"/>
        <w:spacing w:after="0" w:line="270" w:lineRule="auto"/>
        <w:rPr>
          <w:sz w:val="20"/>
          <w:szCs w:val="20"/>
          <w:color w:val="auto"/>
        </w:rPr>
      </w:pPr>
      <w:r>
        <w:rPr>
          <w:rFonts w:ascii="Times New Roman" w:cs="Times New Roman" w:eastAsia="Times New Roman" w:hAnsi="Times New Roman"/>
          <w:sz w:val="13"/>
          <w:szCs w:val="13"/>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3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The Cayman Islands Companies Act has no comparable statute. As a result, we cannot avail ourselves of the types of protections afforded by the Delaware business combination statute. However, although the Cayman Islands Companies Act does not regulate transactions between a company and its significant shareholders, under Cayman Islands law such transactions must be entered into bona fide in the best interests of the company and for a proper corporate purpose and not with the effect of constituting a fraud on the minority shareholders.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company may present a petition to the Grand Court of the Cayman Islands for the appointment of a restructuring officer on the grounds that the company:</w:t>
      </w:r>
    </w:p>
    <w:p>
      <w:pPr>
        <w:spacing w:after="0" w:line="167" w:lineRule="exact"/>
        <w:rPr>
          <w:sz w:val="20"/>
          <w:szCs w:val="20"/>
          <w:color w:val="auto"/>
        </w:rPr>
      </w:pPr>
    </w:p>
    <w:p>
      <w:pPr>
        <w:ind w:left="500" w:hanging="252"/>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 is likely to become unable to pay its debts;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intends to present a compromise or arrangement to its creditors (or classes thereof) either pursuant to the Companies Act, the law of a foreign country or by way of a consensual restructuring.</w:t>
      </w:r>
    </w:p>
    <w:p>
      <w:pPr>
        <w:spacing w:after="0" w:line="167"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color w:val="auto"/>
        </w:rPr>
        <w:t>Dissolution; Winding Up</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p>
      <w:pPr>
        <w:spacing w:after="0" w:line="143" w:lineRule="exact"/>
        <w:rPr>
          <w:sz w:val="20"/>
          <w:szCs w:val="20"/>
          <w:color w:val="auto"/>
        </w:rPr>
      </w:pPr>
    </w:p>
    <w:p>
      <w:pPr>
        <w:jc w:val="both"/>
        <w:ind w:firstLine="492"/>
        <w:spacing w:after="0" w:line="284" w:lineRule="auto"/>
        <w:rPr>
          <w:sz w:val="20"/>
          <w:szCs w:val="20"/>
          <w:color w:val="auto"/>
        </w:rPr>
      </w:pPr>
      <w:r>
        <w:rPr>
          <w:rFonts w:ascii="Times New Roman" w:cs="Times New Roman" w:eastAsia="Times New Roman" w:hAnsi="Times New Roman"/>
          <w:sz w:val="13"/>
          <w:szCs w:val="13"/>
          <w:color w:val="auto"/>
        </w:rPr>
        <w:t>Under the Cayman Islands Companies Act and our articles, the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Variation of Rights of Shares</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vary the rights of a class of shares with the approval of a majority of the outstanding shares of such class, unless the certificate of incorporation provides otherwise. Under the Cayman Islands Companies Act and our articles, if our share capital is divided into more than one class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of Governing Documents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Cayman Islands Companies Act, our articles may only be amended by special resolution of our shareholders.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Anti-money Laundering—Cayman Islands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In order to comply with legislation or regulations aimed at the prevention of money laundering, we may be required to adopt and maintain anti-money laundering procedures, and may require subscribers to provide evidence to verify their identity. Where permitted, and subject to certain conditions, we may also delegate the maintenance of our anti-money laundering procedures (including the acquisition of due diligence information) to a suitable person.</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We reserve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3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43" w:lineRule="exact"/>
        <w:rPr>
          <w:sz w:val="20"/>
          <w:szCs w:val="20"/>
          <w:color w:val="auto"/>
        </w:rPr>
      </w:pPr>
    </w:p>
    <w:p>
      <w:pPr>
        <w:jc w:val="both"/>
        <w:ind w:firstLine="492"/>
        <w:spacing w:after="0" w:line="271" w:lineRule="auto"/>
        <w:rPr>
          <w:sz w:val="20"/>
          <w:szCs w:val="20"/>
          <w:color w:val="auto"/>
        </w:rPr>
      </w:pPr>
      <w:r>
        <w:rPr>
          <w:rFonts w:ascii="Times New Roman" w:cs="Times New Roman" w:eastAsia="Times New Roman" w:hAnsi="Times New Roman"/>
          <w:sz w:val="13"/>
          <w:szCs w:val="13"/>
          <w:color w:val="auto"/>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(As Revised) of the Cayman Islands) or the Financial Reporting Authority of the Cayman Islands, pursuant to the Proceeds of Crime Act (As Revised), if the disclosure relates to criminal conduct or money laundering or (ii) to a police constable or a nominated officer (pursuant to the Terrorism Act (As Revised) of the Cayman Islands) or the Financial Reporting Authority, pursuant to the Terrorism Act (As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We may issue warrants to purchase our Class A Ordinary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spacing w:after="0" w:line="146"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particular terms of any issue of warrants will be described in the prospectus supplement relating to the issue. Those terms may include:</w:t>
      </w:r>
    </w:p>
    <w:p>
      <w:pPr>
        <w:spacing w:after="0" w:line="167" w:lineRule="exact"/>
        <w:rPr>
          <w:sz w:val="20"/>
          <w:szCs w:val="20"/>
          <w:color w:val="auto"/>
        </w:rPr>
      </w:pPr>
    </w:p>
    <w:p>
      <w:pPr>
        <w:ind w:left="500" w:hanging="252"/>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warrants will be issued;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securities or other rights for which the warrants are exercisable;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other securities, if any, with which the warrants are to be issued and the number of warrants issued with each other security;</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adjustment of the number or amount of securities receivable upon exercise of the warrants or the exercise price of the warrants;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0" w:name="page41"/>
    <w:bookmarkEnd w:id="40"/>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securities or other rights purchasable upon exercise of the warrants may be purchased;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securities or other rights purchasable upon exercise of the warrants will be separately transferable;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U.S. federal income tax considerations applicable to the exercise of the warrants;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or minimum number of warrants that may be exercised at any time;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warrants, including terms, procedures and limitations relating to the exchange and exercise of the warrants.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Exercise of Warrants</w:t>
      </w:r>
    </w:p>
    <w:p>
      <w:pPr>
        <w:spacing w:after="0" w:line="171"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Each warrant will entitle the holder of warrants to purchase the number of Class A Ordinary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spacing w:after="0" w:line="149" w:lineRule="exact"/>
        <w:rPr>
          <w:sz w:val="20"/>
          <w:szCs w:val="20"/>
          <w:color w:val="auto"/>
        </w:rPr>
      </w:pPr>
    </w:p>
    <w:p>
      <w:pPr>
        <w:jc w:val="both"/>
        <w:ind w:firstLine="492"/>
        <w:spacing w:after="0" w:line="305" w:lineRule="auto"/>
        <w:rPr>
          <w:sz w:val="20"/>
          <w:szCs w:val="20"/>
          <w:color w:val="auto"/>
        </w:rPr>
      </w:pPr>
      <w:r>
        <w:rPr>
          <w:rFonts w:ascii="Times New Roman" w:cs="Times New Roman" w:eastAsia="Times New Roman" w:hAnsi="Times New Roman"/>
          <w:sz w:val="13"/>
          <w:szCs w:val="13"/>
          <w:color w:val="auto"/>
        </w:rPr>
        <w:t>Prior to the exercise of any warrants to purchase Class A Ordinary Shares, holders of the warrants will not have any of the rights of holders of Class A Ordinary Shares purchasable upon exercise, including the right to vote or to receive any payments of dividends or payments upon our liquidation, dissolution or winding up on the Class A Ordinary Shares purchasable upon exercise, if 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may issue debt securities which may or may not be converted into our Class A Ordinary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spacing w:after="0" w:line="14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41" w:name="page42"/>
    <w:bookmarkEnd w:id="41"/>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Documents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Reference</w:t>
      </w:r>
      <w:r>
        <w:rPr>
          <w:rFonts w:ascii="Times New Roman" w:cs="Times New Roman" w:eastAsia="Times New Roman" w:hAnsi="Times New Roman"/>
          <w:sz w:val="14"/>
          <w:szCs w:val="14"/>
          <w:color w:val="auto"/>
        </w:rPr>
        <w:t>” below for information on how to obtain a copy of a debt securities document when it is filed.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When we refer to a series of debt securities, we mean all debt securities issued as part of the same series under the applicable indenture.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Terms</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The applicable prospectus supplement, information incorporated by reference, or free writing prospectus, may describe the terms of any debt securities that we may offer, including, but not limited to, the following:</w:t>
      </w:r>
    </w:p>
    <w:p>
      <w:pPr>
        <w:spacing w:after="0" w:line="136" w:lineRule="exact"/>
        <w:rPr>
          <w:sz w:val="20"/>
          <w:szCs w:val="20"/>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amount of the debt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or amounts of the debt securities will be issued and interest rate;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price at which the debt securities may be converted;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convert the debt securities will commence and the date on which the right will expire;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debt securities that may be converted at any one time;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material federal income tax consideration;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terms of the payoff of the debt securities;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indenture agent, if any;</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and conditions relating to the conversion of the debt securities;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including terms, procedure and limitation relating to the exchange or conversion of the debt securities.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71"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spacing w:after="0" w:line="14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Prior to the conversion of their debt securities, holders of debt securities convertible for ordinary shares will not have any rights of holders of ordinary shares, and will not be entitled to dividend payments, if any, or voting rights of the ordinary shares.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of Debt Securities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8"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prospectus supplement relating to any rights that we offer will include specific terms relating to the offering, including, among other matters:</w:t>
      </w:r>
    </w:p>
    <w:p>
      <w:pPr>
        <w:spacing w:after="0" w:line="167" w:lineRule="exact"/>
        <w:rPr>
          <w:sz w:val="20"/>
          <w:szCs w:val="20"/>
          <w:color w:val="auto"/>
        </w:rPr>
      </w:pPr>
    </w:p>
    <w:p>
      <w:pPr>
        <w:ind w:left="500" w:hanging="25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determining the security holders entitled to the rights distribution;</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issued and the aggregate amount of securities purchasable upon exercise of the rights;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to completion of the rights offering;</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rights will expire;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federal income tax considerations.</w:t>
      </w:r>
    </w:p>
    <w:p>
      <w:pPr>
        <w:spacing w:after="0" w:line="16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43"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46" w:lineRule="exact"/>
        <w:rPr>
          <w:sz w:val="20"/>
          <w:szCs w:val="20"/>
          <w:color w:val="auto"/>
        </w:rPr>
      </w:pPr>
    </w:p>
    <w:p>
      <w:pPr>
        <w:jc w:val="both"/>
        <w:ind w:firstLine="492"/>
        <w:spacing w:after="0" w:line="277" w:lineRule="auto"/>
        <w:rPr>
          <w:sz w:val="20"/>
          <w:szCs w:val="20"/>
          <w:color w:val="auto"/>
        </w:rPr>
      </w:pPr>
      <w:r>
        <w:rPr>
          <w:rFonts w:ascii="Times New Roman" w:cs="Times New Roman" w:eastAsia="Times New Roman" w:hAnsi="Times New Roman"/>
          <w:sz w:val="13"/>
          <w:szCs w:val="13"/>
          <w:color w:val="auto"/>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spacing w:after="0" w:line="131" w:lineRule="exact"/>
        <w:rPr>
          <w:sz w:val="20"/>
          <w:szCs w:val="20"/>
          <w:color w:val="auto"/>
        </w:rPr>
      </w:pPr>
    </w:p>
    <w:p>
      <w:pPr>
        <w:jc w:val="both"/>
        <w:ind w:firstLine="492"/>
        <w:spacing w:after="0" w:line="250"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167" w:lineRule="exact"/>
        <w:rPr>
          <w:sz w:val="20"/>
          <w:szCs w:val="20"/>
          <w:color w:val="auto"/>
        </w:rPr>
      </w:pPr>
    </w:p>
    <w:p>
      <w:pPr>
        <w:ind w:left="500" w:hanging="252"/>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units;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description of the separate constituent securities comprising the units;</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units will be issued;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considerations applicable to the units; and</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units and their constituent securities.</w:t>
      </w:r>
    </w:p>
    <w:p>
      <w:pPr>
        <w:spacing w:after="0" w:line="167"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“Description of Ordinary Shares” and “Description of Warrants” will apply to each unit and to any Ordinary Share or warrant included in each unit, respectively.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may issue units in such amounts and in numerous distinct series as we determine.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ENFORCEABILITY OF CIVIL LIABILITIES</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We were incorporated under the laws of the Cayman Islands on October 19, 2022 as the holding company of our Group. We are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have a less developed body of securities laws as compared to the United States and provides significantly less protection for investors than the United States. Additionally, Cayman Islands companies may not have standing to sue before the Federal courts of the United States.</w:t>
      </w:r>
    </w:p>
    <w:p>
      <w:pPr>
        <w:spacing w:after="0" w:line="14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Substantially all of our assets are located in the PRC. In addition, all of our directors and officers are nationals or residents of the PRC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43"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have appointed Puglisi &amp; Associates as our agent to receive service of process with respect to any action brought against us for matters relating to and arising under this registration statement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43"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Campbells LLP, our counsel with respect to the laws of the Cayman Islands, and Jingtian &amp; Gongcheng, our counsel with respect to PRC law, have advised us that there is uncertainty as to whether the courts of Cayman Islands or the PRC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Cayman Islands or the PRC against us or our directors or officers predicated upon the securities laws of the United States or any state in the United States.</w:t>
      </w:r>
    </w:p>
    <w:p>
      <w:pPr>
        <w:spacing w:after="0" w:line="145" w:lineRule="exact"/>
        <w:rPr>
          <w:sz w:val="20"/>
          <w:szCs w:val="20"/>
          <w:color w:val="auto"/>
        </w:rPr>
      </w:pPr>
    </w:p>
    <w:p>
      <w:pPr>
        <w:jc w:val="both"/>
        <w:ind w:firstLine="492"/>
        <w:spacing w:after="0" w:line="267" w:lineRule="auto"/>
        <w:rPr>
          <w:sz w:val="20"/>
          <w:szCs w:val="20"/>
          <w:color w:val="auto"/>
        </w:rPr>
      </w:pPr>
      <w:r>
        <w:rPr>
          <w:rFonts w:ascii="Times New Roman" w:cs="Times New Roman" w:eastAsia="Times New Roman" w:hAnsi="Times New Roman"/>
          <w:sz w:val="13"/>
          <w:szCs w:val="13"/>
          <w:color w:val="auto"/>
        </w:rPr>
        <w:t>Campbells LLP has further advised us that there is currently no statutory enforcement or treaty between the United States and the Cayman Islands providing for enforcement of judgments.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 provided such judgment: (i) is given by a foreign court of competent jurisdiction; (ii) imposes on the judgment debtor a liability to pay a liquidated sum for which the judgment has been given;</w:t>
      </w:r>
    </w:p>
    <w:p>
      <w:pPr>
        <w:spacing w:after="0" w:line="1" w:lineRule="exact"/>
        <w:rPr>
          <w:sz w:val="20"/>
          <w:szCs w:val="20"/>
          <w:color w:val="auto"/>
        </w:rPr>
      </w:pPr>
    </w:p>
    <w:p>
      <w:pPr>
        <w:jc w:val="both"/>
        <w:ind w:firstLine="2"/>
        <w:spacing w:after="0" w:line="245" w:lineRule="auto"/>
        <w:tabs>
          <w:tab w:leader="none" w:pos="2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final; (iv) is not in respect of taxes, a fine or a penalty; and (v) was not obtained in a manner and is not of a kind the enforcement of which is contrary to natural justice or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 Furthermore, it is uncertain whether the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Campbells LLP has informed us that there is uncertainty with regard to Cayman Islands law relating to whether a judgment obtained from the U.S. courts under civil liability provisions of the securities laws will be determined by the courts of the Cayman Islands as penal or punitive in nature.</w:t>
      </w:r>
    </w:p>
    <w:p>
      <w:pPr>
        <w:spacing w:after="0" w:line="15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Jingtian &amp; Gongcheng has further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reciprocity between jurisdictions. Jingtian &amp; Gongcheng has advised us further that there are no treaties or other forms of reciprocity between China and the United States for the mutual recognition and enforcement of court judgments, thus making the recognition and enforcement of a U.S. court judgment in China difficult.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16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4"/>
          <w:szCs w:val="14"/>
          <w:color w:val="auto"/>
        </w:rPr>
        <w:t>Material income tax consequences relating to the purchase, ownership, and disposition of the securities offered by this prospectus are set forth in “</w:t>
      </w:r>
      <w:r>
        <w:rPr>
          <w:rFonts w:ascii="Times New Roman" w:cs="Times New Roman" w:eastAsia="Times New Roman" w:hAnsi="Times New Roman"/>
          <w:sz w:val="14"/>
          <w:szCs w:val="14"/>
          <w:i w:val="1"/>
          <w:iCs w:val="1"/>
          <w:color w:val="auto"/>
        </w:rPr>
        <w:t>Item 10. Additional Information—E. Taxation</w:t>
      </w:r>
      <w:r>
        <w:rPr>
          <w:rFonts w:ascii="Times New Roman" w:cs="Times New Roman" w:eastAsia="Times New Roman" w:hAnsi="Times New Roman"/>
          <w:sz w:val="14"/>
          <w:szCs w:val="14"/>
          <w:color w:val="auto"/>
        </w:rPr>
        <w:t>” in our 2025 Annual Report, which is incorporated herein by reference, as updated by our subsequent filings under the Exchange Act that are incorporated by reference and, if applicable, in any accompanying prospectus supplement or relevant free writing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We are being represented by McCarter &amp; English, LLP, New York, New York with respect to certain legal matters as to United States federal securities and New York State law. The validity of the securities offered by this prospectus and legal matters as to Cayman Islands law will be passed upon for us by Campbells LLP. Legal matters as to PRC law will be passed upon for us by Jingtian &amp; Gongcheng.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1" w:lineRule="exact"/>
        <w:rPr>
          <w:sz w:val="20"/>
          <w:szCs w:val="20"/>
          <w:color w:val="auto"/>
        </w:rPr>
      </w:pPr>
    </w:p>
    <w:p>
      <w:pPr>
        <w:jc w:val="both"/>
        <w:ind w:firstLine="492"/>
        <w:spacing w:after="0" w:line="284" w:lineRule="auto"/>
        <w:rPr>
          <w:sz w:val="20"/>
          <w:szCs w:val="20"/>
          <w:color w:val="auto"/>
        </w:rPr>
      </w:pPr>
      <w:r>
        <w:rPr>
          <w:rFonts w:ascii="Times New Roman" w:cs="Times New Roman" w:eastAsia="Times New Roman" w:hAnsi="Times New Roman"/>
          <w:sz w:val="13"/>
          <w:szCs w:val="13"/>
          <w:color w:val="auto"/>
        </w:rPr>
        <w:t>The consolidated financial statements of the Company as of September 30, 2025 and 2024 and for each of the three years in the period ended September 30, 2025 have been audited by Wei, Wei &amp; Co., LLP, an independent registered public accounting firm, as set forth in their report dated January 30, 2026 included in our annual report on Form 20-F filed with the SEC on January 30, 2026, and are incorporated herein by reference. Such financial statements have been incorporated herein by reference in reliance upon such report given 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 Our SEC filings may also be obtained over the Internet at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492"/>
        <w:spacing w:after="0" w:line="272" w:lineRule="auto"/>
        <w:rPr>
          <w:sz w:val="20"/>
          <w:szCs w:val="20"/>
          <w:color w:val="auto"/>
        </w:rPr>
      </w:pPr>
      <w:r>
        <w:rPr>
          <w:rFonts w:ascii="Times New Roman" w:cs="Times New Roman" w:eastAsia="Times New Roman" w:hAnsi="Times New Roman"/>
          <w:sz w:val="14"/>
          <w:szCs w:val="14"/>
          <w:color w:val="auto"/>
        </w:rPr>
        <w:t xml:space="preserve">Our corporate website is </w:t>
      </w:r>
      <w:r>
        <w:rPr>
          <w:rFonts w:ascii="Times New Roman" w:cs="Times New Roman" w:eastAsia="Times New Roman" w:hAnsi="Times New Roman"/>
          <w:sz w:val="14"/>
          <w:szCs w:val="14"/>
          <w:i w:val="1"/>
          <w:iCs w:val="1"/>
          <w:color w:val="auto"/>
        </w:rPr>
        <w:t>www.r-egroup.com</w:t>
      </w:r>
      <w:r>
        <w:rPr>
          <w:rFonts w:ascii="Times New Roman" w:cs="Times New Roman" w:eastAsia="Times New Roman" w:hAnsi="Times New Roman"/>
          <w:sz w:val="14"/>
          <w:szCs w:val="14"/>
          <w:color w:val="auto"/>
        </w:rPr>
        <w:t>. The information contained on our websites is not a part of this prospectus. Our agent for service of process in the United States for matters relating to and arising under this registration statement, is Puglisi &amp; Associates, 850 Library Ave., Suite 204, Newark, DE 19711, and their phone number is +1 (302) 738-6680.</w:t>
      </w:r>
    </w:p>
    <w:p>
      <w:pPr>
        <w:spacing w:after="0" w:line="131"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DOCUMENTS BY REFERENCE</w:t>
      </w:r>
    </w:p>
    <w:p>
      <w:pPr>
        <w:spacing w:after="0" w:line="171" w:lineRule="exact"/>
        <w:rPr>
          <w:sz w:val="20"/>
          <w:szCs w:val="20"/>
          <w:color w:val="auto"/>
        </w:rPr>
      </w:pPr>
    </w:p>
    <w:p>
      <w:pPr>
        <w:jc w:val="both"/>
        <w:ind w:firstLine="492"/>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incorporate by reference the following documents:</w:t>
      </w:r>
    </w:p>
    <w:p>
      <w:pPr>
        <w:spacing w:after="0" w:line="167" w:lineRule="exact"/>
        <w:rPr>
          <w:sz w:val="20"/>
          <w:szCs w:val="20"/>
          <w:color w:val="auto"/>
        </w:rPr>
      </w:pPr>
    </w:p>
    <w:p>
      <w:pPr>
        <w:ind w:left="500" w:hanging="252"/>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0">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September 30, 2025, filed with the SEC on January 30, 2026;</w:t>
      </w:r>
    </w:p>
    <w:p>
      <w:pPr>
        <w:spacing w:after="0" w:line="167"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6-K furnished on </w:t>
      </w:r>
      <w:hyperlink r:id="rId61">
        <w:r>
          <w:rPr>
            <w:rFonts w:ascii="Times New Roman" w:cs="Times New Roman" w:eastAsia="Times New Roman" w:hAnsi="Times New Roman"/>
            <w:sz w:val="14"/>
            <w:szCs w:val="14"/>
            <w:u w:val="single" w:color="auto"/>
            <w:color w:val="0000EE"/>
          </w:rPr>
          <w:t>February 17, 2026</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January 29, 2026</w:t>
        </w:r>
      </w:hyperlink>
      <w:r>
        <w:rPr>
          <w:rFonts w:ascii="Times New Roman" w:cs="Times New Roman" w:eastAsia="Times New Roman" w:hAnsi="Times New Roman"/>
          <w:sz w:val="14"/>
          <w:szCs w:val="14"/>
          <w:color w:val="auto"/>
        </w:rPr>
        <w:t xml:space="preserve">, </w:t>
      </w:r>
      <w:hyperlink r:id="rId63">
        <w:r>
          <w:rPr>
            <w:rFonts w:ascii="Times New Roman" w:cs="Times New Roman" w:eastAsia="Times New Roman" w:hAnsi="Times New Roman"/>
            <w:sz w:val="14"/>
            <w:szCs w:val="14"/>
            <w:u w:val="single" w:color="auto"/>
            <w:color w:val="0000EE"/>
          </w:rPr>
          <w:t>January 26, 2026</w:t>
        </w:r>
      </w:hyperlink>
      <w:r>
        <w:rPr>
          <w:rFonts w:ascii="Times New Roman" w:cs="Times New Roman" w:eastAsia="Times New Roman" w:hAnsi="Times New Roman"/>
          <w:sz w:val="14"/>
          <w:szCs w:val="14"/>
          <w:color w:val="auto"/>
        </w:rPr>
        <w:t xml:space="preserve">, and </w:t>
      </w:r>
      <w:hyperlink r:id="rId64">
        <w:r>
          <w:rPr>
            <w:rFonts w:ascii="Times New Roman" w:cs="Times New Roman" w:eastAsia="Times New Roman" w:hAnsi="Times New Roman"/>
            <w:sz w:val="14"/>
            <w:szCs w:val="14"/>
            <w:u w:val="single" w:color="auto"/>
            <w:color w:val="0000EE"/>
          </w:rPr>
          <w:t>January 22, 2026</w:t>
        </w:r>
      </w:hyperlink>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ordinary shares contained in the Registration Statement on </w:t>
      </w:r>
      <w:hyperlink r:id="rId65">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relating thereto, filed with the SEC on December 18, 2024, including any amendment or report filed for the purpose of updating such description, including </w:t>
      </w:r>
      <w:hyperlink r:id="rId66">
        <w:r>
          <w:rPr>
            <w:rFonts w:ascii="Times New Roman" w:cs="Times New Roman" w:eastAsia="Times New Roman" w:hAnsi="Times New Roman"/>
            <w:sz w:val="14"/>
            <w:szCs w:val="14"/>
            <w:u w:val="single" w:color="auto"/>
            <w:color w:val="0000EE"/>
          </w:rPr>
          <w:t>Exhibit 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20-F filed with the SEC on </w:t>
      </w:r>
      <w:hyperlink r:id="rId60">
        <w:r>
          <w:rPr>
            <w:rFonts w:ascii="Times New Roman" w:cs="Times New Roman" w:eastAsia="Times New Roman" w:hAnsi="Times New Roman"/>
            <w:sz w:val="14"/>
            <w:szCs w:val="14"/>
            <w:u w:val="single" w:color="auto"/>
            <w:color w:val="0000EE"/>
          </w:rPr>
          <w:t>January 30, 2026</w:t>
        </w:r>
      </w:hyperlink>
      <w:r>
        <w:rPr>
          <w:rFonts w:ascii="Times New Roman" w:cs="Times New Roman" w:eastAsia="Times New Roman" w:hAnsi="Times New Roman"/>
          <w:sz w:val="14"/>
          <w:szCs w:val="14"/>
          <w:color w:val="auto"/>
        </w:rPr>
        <w:t>, as amended;</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annual reports on Form 20-F filed with the SEC after the date of the filing of the registration statement of which this prospectus forms a part and prior to the termination of the offering of the securities offered by this prospectus; and</w:t>
      </w:r>
    </w:p>
    <w:p>
      <w:pPr>
        <w:spacing w:after="0" w:line="135" w:lineRule="exact"/>
        <w:rPr>
          <w:rFonts w:ascii="Times New Roman" w:cs="Times New Roman" w:eastAsia="Times New Roman" w:hAnsi="Times New Roman"/>
          <w:sz w:val="14"/>
          <w:szCs w:val="14"/>
          <w:color w:val="auto"/>
        </w:rPr>
      </w:pPr>
    </w:p>
    <w:p>
      <w:pPr>
        <w:ind w:left="500" w:hanging="252"/>
        <w:spacing w:after="0" w:line="266" w:lineRule="auto"/>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future reports on Form 6-K that we furnish to the SEC after the date of the filing of the registration statement of which this prospectus forms a part that are identified in such reports as being incorporated by reference in this prospectus.</w:t>
      </w:r>
    </w:p>
    <w:p>
      <w:pPr>
        <w:spacing w:after="0" w:line="136" w:lineRule="exact"/>
        <w:rPr>
          <w:rFonts w:ascii="Times New Roman" w:cs="Times New Roman" w:eastAsia="Times New Roman" w:hAnsi="Times New Roman"/>
          <w:sz w:val="14"/>
          <w:szCs w:val="14"/>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Our most recent Annual Report on Form 20-F contains descriptions of our business and audited consolidated financial statements with a report by our independent auditors. These financial statements are prepared in accordance with accounting principles generally accepted in the United States.</w:t>
      </w:r>
    </w:p>
    <w:p>
      <w:pPr>
        <w:spacing w:after="0" w:line="136" w:lineRule="exact"/>
        <w:rPr>
          <w:rFonts w:ascii="Times New Roman" w:cs="Times New Roman" w:eastAsia="Times New Roman" w:hAnsi="Times New Roman"/>
          <w:sz w:val="14"/>
          <w:szCs w:val="14"/>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 xml:space="preserve">The SEC maintains a web site at www.sec.gov that contains reports, proxy and information statements, and other information regarding issuers that file electronically with the SEC using its EDGAR system. We maintain our web site at </w:t>
      </w:r>
      <w:r>
        <w:rPr>
          <w:rFonts w:ascii="Times New Roman" w:cs="Times New Roman" w:eastAsia="Times New Roman" w:hAnsi="Times New Roman"/>
          <w:sz w:val="14"/>
          <w:szCs w:val="14"/>
          <w:i w:val="1"/>
          <w:iCs w:val="1"/>
          <w:color w:val="auto"/>
        </w:rPr>
        <w:t>www.r-egroup.com</w:t>
      </w:r>
      <w:r>
        <w:rPr>
          <w:rFonts w:ascii="Times New Roman" w:cs="Times New Roman" w:eastAsia="Times New Roman" w:hAnsi="Times New Roman"/>
          <w:sz w:val="14"/>
          <w:szCs w:val="14"/>
          <w:color w:val="auto"/>
        </w:rPr>
        <w:t>. The information contained on our websites does not form a part of this prospectus.</w:t>
      </w:r>
    </w:p>
    <w:p>
      <w:pPr>
        <w:spacing w:after="0" w:line="136" w:lineRule="exact"/>
        <w:rPr>
          <w:rFonts w:ascii="Times New Roman" w:cs="Times New Roman" w:eastAsia="Times New Roman" w:hAnsi="Times New Roman"/>
          <w:sz w:val="14"/>
          <w:szCs w:val="14"/>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Unless expressly incorporated by reference, nothing in this prospectus shall be deemed to incorporate by reference information furnished to, but not filed with, the SEC. Copies of all documents incorporated by reference in this prospectus but not delivered with the prospectus will be provided at no cost to each person, including any beneficial owner, who receives a copy of this prospectus on the written or oral request of that person made to:</w:t>
      </w:r>
    </w:p>
    <w:p>
      <w:pPr>
        <w:spacing w:after="0" w:line="14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Leishen Energy Holding Co., Ltd.</w:t>
      </w:r>
    </w:p>
    <w:p>
      <w:pPr>
        <w:spacing w:after="0" w:line="1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Zhiping Yu, Chief Financial Officer</w:t>
      </w:r>
    </w:p>
    <w:p>
      <w:pPr>
        <w:spacing w:after="0" w:line="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Telephone: +86-10-84871799</w:t>
      </w:r>
    </w:p>
    <w:p>
      <w:pPr>
        <w:spacing w:after="0" w:line="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Email address: ir@r-egroup.com</w:t>
      </w:r>
    </w:p>
    <w:p>
      <w:pPr>
        <w:spacing w:after="0" w:line="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103 Huizhong Li, B Building, Peking Times Square, Unit 15B10</w:t>
      </w:r>
    </w:p>
    <w:p>
      <w:pPr>
        <w:spacing w:after="0" w:line="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Chaoyang District, Beijing, China</w:t>
      </w:r>
    </w:p>
    <w:p>
      <w:pPr>
        <w:spacing w:after="0" w:line="156" w:lineRule="exact"/>
        <w:rPr>
          <w:rFonts w:ascii="Times New Roman" w:cs="Times New Roman" w:eastAsia="Times New Roman" w:hAnsi="Times New Roman"/>
          <w:sz w:val="14"/>
          <w:szCs w:val="14"/>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4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Leishen Energy Holding Co., Ltd.</w:t>
      </w:r>
    </w:p>
    <w:p>
      <w:pPr>
        <w:sectPr>
          <w:pgSz w:w="11900" w:h="16838" w:orient="portrait"/>
          <w:cols w:equalWidth="0" w:num="1">
            <w:col w:w="9019"/>
          </w:cols>
          <w:pgMar w:left="1440" w:top="542"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Class A Ordinary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5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3"/>
          <w:szCs w:val="13"/>
          <w:b w:val="1"/>
          <w:bCs w:val="1"/>
          <w:color w:val="auto"/>
        </w:rPr>
        <w:t>Prospectus dated _____________,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228600</wp:posOffset>
            </wp:positionV>
            <wp:extent cx="716534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9019"/>
          </w:cols>
          <w:pgMar w:left="1440" w:top="542" w:right="1440"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PART II - INFORMATION NOT REQUIRED IN PROSPECTUS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Indemnification of Officers and Directors.</w:t>
      </w:r>
    </w:p>
    <w:p>
      <w:pPr>
        <w:spacing w:after="0" w:line="171"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second amended and restated memorandum and articles of association permit indemnification of officers and directors for the time being of the Company for all actions, costs, charges, losses, damages and expenses incurred or sustained by or by reason of any act done, concurred in or omitted in or about the execution of their duty, or supposed duty, in their capacities as such unless such losses or damages arise from dishonesty or fraud which may attach to such directors or officers.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amended and restated memorandum and articles of association.</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Any underwriting agreement entered into in connection with an offering of our securities may also provide for indemnification of us and our officers and directors in certain cases.</w:t>
      </w:r>
    </w:p>
    <w:p>
      <w:pPr>
        <w:spacing w:after="0" w:line="16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See Exhibit Index beginning on page II-4 of this registration statement.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67" w:lineRule="exact"/>
        <w:rPr>
          <w:sz w:val="20"/>
          <w:szCs w:val="20"/>
          <w:color w:val="auto"/>
        </w:rPr>
      </w:pPr>
    </w:p>
    <w:p>
      <w:pPr>
        <w:ind w:left="500" w:hanging="252"/>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4"/>
          <w:szCs w:val="14"/>
          <w:color w:val="auto"/>
        </w:rPr>
      </w:pPr>
    </w:p>
    <w:p>
      <w:pPr>
        <w:ind w:left="740" w:hanging="246"/>
        <w:spacing w:after="0"/>
        <w:tabs>
          <w:tab w:leader="none" w:pos="7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w:t>
      </w:r>
    </w:p>
    <w:p>
      <w:pPr>
        <w:spacing w:after="0" w:line="167" w:lineRule="exact"/>
        <w:rPr>
          <w:rFonts w:ascii="Times New Roman" w:cs="Times New Roman" w:eastAsia="Times New Roman" w:hAnsi="Times New Roman"/>
          <w:sz w:val="14"/>
          <w:szCs w:val="14"/>
          <w:color w:val="auto"/>
        </w:rPr>
      </w:pPr>
    </w:p>
    <w:p>
      <w:pPr>
        <w:jc w:val="both"/>
        <w:ind w:left="740" w:hanging="246"/>
        <w:spacing w:after="0" w:line="250" w:lineRule="auto"/>
        <w:tabs>
          <w:tab w:leader="none" w:pos="7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the securities offered would not exceed that which was registered) and any deviation from the low or high end of the estimated maximum offering range may be reflected in the form of prospectus filed with the U.S.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46" w:lineRule="exact"/>
        <w:rPr>
          <w:rFonts w:ascii="Times New Roman" w:cs="Times New Roman" w:eastAsia="Times New Roman" w:hAnsi="Times New Roman"/>
          <w:sz w:val="14"/>
          <w:szCs w:val="14"/>
          <w:color w:val="auto"/>
        </w:rPr>
      </w:pPr>
    </w:p>
    <w:p>
      <w:pPr>
        <w:ind w:left="740" w:hanging="246"/>
        <w:spacing w:after="0" w:line="266" w:lineRule="auto"/>
        <w:tabs>
          <w:tab w:leader="none" w:pos="7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36"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4"/>
          <w:szCs w:val="14"/>
          <w:color w:val="auto"/>
        </w:rPr>
        <w:t>provided, however, that the undertakings set forth in paragraphs (1)(i), (1)(ii) and (1)(iii) above do not apply if the information required to be included in a post-effective amendment by those paragraphs is contained in reports filed with or furnished to the U.S. Securities and Exchange Commission by the registrant pursuant to Section 13 or Section 15(d) of the Securities Exchange Act of 1934, as amended, that are incorporated by reference in this registration statement or is contained in a form of prospectus filed pursuant to Rule 424(b) that is part of this registration statement;</w:t>
      </w:r>
    </w:p>
    <w:p>
      <w:pPr>
        <w:spacing w:after="0" w:line="143" w:lineRule="exact"/>
        <w:rPr>
          <w:sz w:val="20"/>
          <w:szCs w:val="20"/>
          <w:color w:val="auto"/>
        </w:rPr>
      </w:pPr>
    </w:p>
    <w:p>
      <w:pPr>
        <w:ind w:left="500" w:hanging="252"/>
        <w:spacing w:after="0" w:line="266"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7" w:lineRule="exact"/>
        <w:rPr>
          <w:rFonts w:ascii="Times New Roman" w:cs="Times New Roman" w:eastAsia="Times New Roman" w:hAnsi="Times New Roman"/>
          <w:sz w:val="14"/>
          <w:szCs w:val="14"/>
          <w:color w:val="auto"/>
        </w:rPr>
      </w:pPr>
    </w:p>
    <w:p>
      <w:pPr>
        <w:jc w:val="both"/>
        <w:ind w:left="500" w:hanging="252"/>
        <w:spacing w:after="0" w:line="249" w:lineRule="auto"/>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4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as amended, to any purchaser:</w:t>
      </w:r>
    </w:p>
    <w:p>
      <w:pPr>
        <w:spacing w:after="0" w:line="167" w:lineRule="exact"/>
        <w:rPr>
          <w:sz w:val="20"/>
          <w:szCs w:val="20"/>
          <w:color w:val="auto"/>
        </w:rPr>
      </w:pPr>
    </w:p>
    <w:p>
      <w:pPr>
        <w:ind w:left="740" w:hanging="246"/>
        <w:spacing w:after="0" w:line="266" w:lineRule="auto"/>
        <w:tabs>
          <w:tab w:leader="none" w:pos="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 (b)(3) shall be deemed to be part of this registration statement as of the date the filed prospectus was deemed part of and included in this registration statement; and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50" w:name="page51"/>
    <w:bookmarkEnd w:id="50"/>
    <w:p>
      <w:pPr>
        <w:jc w:val="both"/>
        <w:ind w:left="500" w:hanging="246"/>
        <w:spacing w:after="0" w:line="247" w:lineRule="auto"/>
        <w:tabs>
          <w:tab w:leader="none" w:pos="5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 (b)(2),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0" w:lineRule="exact"/>
        <w:rPr>
          <w:rFonts w:ascii="Times New Roman" w:cs="Times New Roman" w:eastAsia="Times New Roman" w:hAnsi="Times New Roman"/>
          <w:sz w:val="14"/>
          <w:szCs w:val="14"/>
          <w:color w:val="auto"/>
        </w:rPr>
      </w:pPr>
    </w:p>
    <w:p>
      <w:pPr>
        <w:jc w:val="both"/>
        <w:ind w:left="260" w:hanging="252"/>
        <w:spacing w:after="0" w:line="252"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4"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67"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67" w:lineRule="exact"/>
        <w:rPr>
          <w:rFonts w:ascii="Times New Roman" w:cs="Times New Roman" w:eastAsia="Times New Roman" w:hAnsi="Times New Roman"/>
          <w:sz w:val="14"/>
          <w:szCs w:val="14"/>
          <w:color w:val="auto"/>
        </w:rPr>
      </w:pPr>
    </w:p>
    <w:p>
      <w:pPr>
        <w:ind w:left="500" w:hanging="246"/>
        <w:spacing w:after="0" w:line="266" w:lineRule="auto"/>
        <w:tabs>
          <w:tab w:leader="none" w:pos="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5" w:lineRule="exact"/>
        <w:rPr>
          <w:rFonts w:ascii="Times New Roman" w:cs="Times New Roman" w:eastAsia="Times New Roman" w:hAnsi="Times New Roman"/>
          <w:sz w:val="14"/>
          <w:szCs w:val="14"/>
          <w:color w:val="auto"/>
        </w:rPr>
      </w:pPr>
    </w:p>
    <w:p>
      <w:pPr>
        <w:ind w:left="500" w:hanging="246"/>
        <w:spacing w:after="0"/>
        <w:tabs>
          <w:tab w:leader="none" w:pos="5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7" w:lineRule="exact"/>
        <w:rPr>
          <w:rFonts w:ascii="Times New Roman" w:cs="Times New Roman" w:eastAsia="Times New Roman" w:hAnsi="Times New Roman"/>
          <w:sz w:val="14"/>
          <w:szCs w:val="14"/>
          <w:color w:val="auto"/>
        </w:rPr>
      </w:pPr>
    </w:p>
    <w:p>
      <w:pPr>
        <w:jc w:val="both"/>
        <w:ind w:left="260" w:hanging="252"/>
        <w:spacing w:after="0" w:line="255"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and</w:t>
      </w:r>
    </w:p>
    <w:p>
      <w:pPr>
        <w:spacing w:after="0" w:line="143" w:lineRule="exact"/>
        <w:rPr>
          <w:rFonts w:ascii="Times New Roman" w:cs="Times New Roman" w:eastAsia="Times New Roman" w:hAnsi="Times New Roman"/>
          <w:sz w:val="14"/>
          <w:szCs w:val="14"/>
          <w:color w:val="auto"/>
        </w:rPr>
      </w:pPr>
    </w:p>
    <w:p>
      <w:pPr>
        <w:jc w:val="both"/>
        <w:ind w:left="260" w:hanging="252"/>
        <w:spacing w:after="0" w:line="248" w:lineRule="auto"/>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716534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040"/>
          </w:cols>
          <w:pgMar w:left="540" w:top="558"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0"/>
        </w:trPr>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30"/>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33"/>
        </w:trPr>
        <w:tc>
          <w:tcPr>
            <w:tcW w:w="740" w:type="dxa"/>
            <w:vAlign w:val="bottom"/>
            <w:tcBorders>
              <w:top w:val="single" w:sz="8" w:color="auto"/>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440" w:type="dxa"/>
            <w:vAlign w:val="bottom"/>
            <w:tcBorders>
              <w:top w:val="single" w:sz="8" w:color="auto"/>
              <w:bottom w:val="single" w:sz="8" w:color="0000EE"/>
            </w:tcBorders>
            <w:gridSpan w:val="9"/>
            <w:shd w:val="clear" w:color="auto" w:fill="CCEEFF"/>
          </w:tcPr>
          <w:p>
            <w:pPr>
              <w:spacing w:after="0" w:line="133" w:lineRule="exact"/>
              <w:rPr>
                <w:rFonts w:ascii="Times New Roman" w:cs="Times New Roman" w:eastAsia="Times New Roman" w:hAnsi="Times New Roman"/>
                <w:sz w:val="14"/>
                <w:szCs w:val="14"/>
                <w:color w:val="0000EE"/>
                <w:w w:val="99"/>
              </w:rPr>
            </w:pPr>
            <w:hyperlink r:id="rId72">
              <w:r>
                <w:rPr>
                  <w:rFonts w:ascii="Times New Roman" w:cs="Times New Roman" w:eastAsia="Times New Roman" w:hAnsi="Times New Roman"/>
                  <w:sz w:val="14"/>
                  <w:szCs w:val="14"/>
                  <w:color w:val="0000EE"/>
                  <w:w w:val="99"/>
                </w:rPr>
                <w:t>The currently effective Second Amended and Restated Articles of Association of the Company (incorporated by reference to Exhibit 1.1 of our 2025 Annual Report (File No. 001-42445)</w:t>
              </w:r>
            </w:hyperlink>
          </w:p>
        </w:tc>
      </w:tr>
      <w:tr>
        <w:trPr>
          <w:trHeight w:val="155"/>
        </w:trPr>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0" w:type="dxa"/>
            <w:vAlign w:val="bottom"/>
            <w:tcBorders>
              <w:bottom w:val="single" w:sz="8" w:color="0000EE"/>
            </w:tcBorders>
            <w:gridSpan w:val="4"/>
            <w:shd w:val="clear" w:color="auto" w:fill="CCEEFF"/>
          </w:tcPr>
          <w:p>
            <w:pPr>
              <w:spacing w:after="0" w:line="144" w:lineRule="exact"/>
              <w:rPr>
                <w:rFonts w:ascii="Times New Roman" w:cs="Times New Roman" w:eastAsia="Times New Roman" w:hAnsi="Times New Roman"/>
                <w:sz w:val="14"/>
                <w:szCs w:val="14"/>
                <w:color w:val="0000EE"/>
                <w:w w:val="96"/>
              </w:rPr>
            </w:pPr>
            <w:hyperlink r:id="rId72">
              <w:r>
                <w:rPr>
                  <w:rFonts w:ascii="Times New Roman" w:cs="Times New Roman" w:eastAsia="Times New Roman" w:hAnsi="Times New Roman"/>
                  <w:sz w:val="14"/>
                  <w:szCs w:val="14"/>
                  <w:color w:val="0000EE"/>
                  <w:w w:val="96"/>
                </w:rPr>
                <w:t>filed with the SEC on January 30, 2026)</w:t>
              </w:r>
            </w:hyperlink>
          </w:p>
        </w:tc>
        <w:tc>
          <w:tcPr>
            <w:tcW w:w="8240" w:type="dxa"/>
            <w:vAlign w:val="bottom"/>
            <w:tcBorders>
              <w:bottom w:val="single" w:sz="8" w:color="CCEEFF"/>
            </w:tcBorders>
            <w:gridSpan w:val="5"/>
            <w:shd w:val="clear" w:color="auto" w:fill="CCEEFF"/>
          </w:tcPr>
          <w:p>
            <w:pPr>
              <w:spacing w:after="0"/>
              <w:rPr>
                <w:sz w:val="13"/>
                <w:szCs w:val="13"/>
                <w:color w:val="auto"/>
              </w:rPr>
            </w:pPr>
          </w:p>
        </w:tc>
      </w:tr>
      <w:tr>
        <w:trPr>
          <w:trHeight w:val="133"/>
        </w:trPr>
        <w:tc>
          <w:tcPr>
            <w:tcW w:w="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1"/>
                <w:szCs w:val="11"/>
                <w:color w:val="auto"/>
              </w:rPr>
            </w:pPr>
          </w:p>
        </w:tc>
        <w:tc>
          <w:tcPr>
            <w:tcW w:w="10440" w:type="dxa"/>
            <w:vAlign w:val="bottom"/>
            <w:tcBorders>
              <w:bottom w:val="single" w:sz="8" w:color="0000EE"/>
            </w:tcBorders>
            <w:gridSpan w:val="9"/>
          </w:tcPr>
          <w:p>
            <w:pPr>
              <w:spacing w:after="0" w:line="133" w:lineRule="exact"/>
              <w:rPr>
                <w:rFonts w:ascii="Times New Roman" w:cs="Times New Roman" w:eastAsia="Times New Roman" w:hAnsi="Times New Roman"/>
                <w:sz w:val="14"/>
                <w:szCs w:val="14"/>
                <w:color w:val="0000EE"/>
                <w:w w:val="98"/>
              </w:rPr>
            </w:pPr>
            <w:hyperlink r:id="rId73">
              <w:r>
                <w:rPr>
                  <w:rFonts w:ascii="Times New Roman" w:cs="Times New Roman" w:eastAsia="Times New Roman" w:hAnsi="Times New Roman"/>
                  <w:sz w:val="14"/>
                  <w:szCs w:val="14"/>
                  <w:color w:val="0000EE"/>
                  <w:w w:val="98"/>
                </w:rPr>
                <w:t>Registrant’s Specimen Certificate for Class A Ordinary Shares (incorporated by reference to Exhibit 2.1 of our 2025 Annual Report (File No. 001-42445) filed with the SEC on January 30,</w:t>
              </w:r>
            </w:hyperlink>
          </w:p>
        </w:tc>
      </w:tr>
      <w:tr>
        <w:trPr>
          <w:trHeight w:val="144"/>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0000EE"/>
            </w:tcBorders>
          </w:tcPr>
          <w:p>
            <w:pPr>
              <w:spacing w:after="0" w:line="144" w:lineRule="exact"/>
              <w:rPr>
                <w:rFonts w:ascii="Times New Roman" w:cs="Times New Roman" w:eastAsia="Times New Roman" w:hAnsi="Times New Roman"/>
                <w:sz w:val="14"/>
                <w:szCs w:val="14"/>
                <w:color w:val="0000EE"/>
                <w:w w:val="91"/>
              </w:rPr>
            </w:pPr>
            <w:hyperlink r:id="rId73">
              <w:r>
                <w:rPr>
                  <w:rFonts w:ascii="Times New Roman" w:cs="Times New Roman" w:eastAsia="Times New Roman" w:hAnsi="Times New Roman"/>
                  <w:sz w:val="14"/>
                  <w:szCs w:val="14"/>
                  <w:color w:val="0000EE"/>
                  <w:w w:val="91"/>
                </w:rPr>
                <w:t>2026)</w:t>
              </w:r>
            </w:hyperlink>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60" w:type="dxa"/>
            <w:vAlign w:val="bottom"/>
          </w:tcPr>
          <w:p>
            <w:pPr>
              <w:spacing w:after="0"/>
              <w:rPr>
                <w:sz w:val="12"/>
                <w:szCs w:val="12"/>
                <w:color w:val="auto"/>
              </w:rPr>
            </w:pPr>
          </w:p>
        </w:tc>
      </w:tr>
      <w:tr>
        <w:trPr>
          <w:trHeight w:val="175"/>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104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Warrant Agreement, including form of Warrant</w:t>
            </w:r>
          </w:p>
        </w:tc>
      </w:tr>
      <w:tr>
        <w:trPr>
          <w:trHeight w:val="16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4"/>
                <w:szCs w:val="14"/>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Debt Securities</w:t>
            </w:r>
          </w:p>
        </w:tc>
      </w:tr>
      <w:tr>
        <w:trPr>
          <w:trHeight w:val="16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4"/>
                <w:szCs w:val="14"/>
                <w:color w:val="auto"/>
              </w:rPr>
            </w:pPr>
          </w:p>
        </w:tc>
        <w:tc>
          <w:tcPr>
            <w:tcW w:w="104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Form of Rights Certificate</w:t>
            </w:r>
          </w:p>
        </w:tc>
      </w:tr>
      <w:tr>
        <w:trPr>
          <w:trHeight w:val="164"/>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104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133"/>
        </w:trPr>
        <w:tc>
          <w:tcPr>
            <w:tcW w:w="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1"/>
                <w:szCs w:val="11"/>
                <w:color w:val="auto"/>
              </w:rPr>
            </w:pPr>
          </w:p>
        </w:tc>
        <w:tc>
          <w:tcPr>
            <w:tcW w:w="10440" w:type="dxa"/>
            <w:vAlign w:val="bottom"/>
            <w:gridSpan w:val="9"/>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Opinion of Campbells LLP regarding the validity of the securities being registered</w:t>
            </w:r>
          </w:p>
        </w:tc>
      </w:tr>
      <w:tr>
        <w:trPr>
          <w:trHeight w:val="31"/>
        </w:trPr>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360" w:type="dxa"/>
            <w:vAlign w:val="bottom"/>
            <w:tcBorders>
              <w:right w:val="single" w:sz="8" w:color="CCEEFF"/>
            </w:tcBorders>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r>
      <w:tr>
        <w:trPr>
          <w:trHeight w:val="133"/>
        </w:trPr>
        <w:tc>
          <w:tcPr>
            <w:tcW w:w="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1"/>
                <w:szCs w:val="11"/>
                <w:color w:val="auto"/>
              </w:rPr>
            </w:pPr>
          </w:p>
        </w:tc>
        <w:tc>
          <w:tcPr>
            <w:tcW w:w="538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4"/>
                <w:szCs w:val="14"/>
                <w:color w:val="0000EE"/>
                <w:w w:val="97"/>
              </w:rPr>
              <w:t>Opinion of Campbells LLP regarding certain Cayman Islands tax matters (included in Exhibit 5.1)</w:t>
            </w:r>
          </w:p>
        </w:tc>
        <w:tc>
          <w:tcPr>
            <w:tcW w:w="5060" w:type="dxa"/>
            <w:vAlign w:val="bottom"/>
          </w:tcPr>
          <w:p>
            <w:pPr>
              <w:spacing w:after="0"/>
              <w:rPr>
                <w:sz w:val="11"/>
                <w:szCs w:val="11"/>
                <w:color w:val="auto"/>
              </w:rPr>
            </w:pPr>
          </w:p>
        </w:tc>
      </w:tr>
      <w:tr>
        <w:trPr>
          <w:trHeight w:val="155"/>
        </w:trPr>
        <w:tc>
          <w:tcPr>
            <w:tcW w:w="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3"/>
                <w:szCs w:val="13"/>
                <w:color w:val="auto"/>
              </w:rPr>
            </w:pPr>
          </w:p>
        </w:tc>
        <w:tc>
          <w:tcPr>
            <w:tcW w:w="10440" w:type="dxa"/>
            <w:vAlign w:val="bottom"/>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Consent of Wei, Wei &amp; Co., LLP, an independent registered public accounting firm</w:t>
            </w:r>
          </w:p>
        </w:tc>
      </w:tr>
      <w:tr>
        <w:trPr>
          <w:trHeight w:val="133"/>
        </w:trPr>
        <w:tc>
          <w:tcPr>
            <w:tcW w:w="74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top w:val="single" w:sz="8" w:color="CCEEFF"/>
            </w:tcBorders>
          </w:tcPr>
          <w:p>
            <w:pPr>
              <w:spacing w:after="0"/>
              <w:rPr>
                <w:sz w:val="11"/>
                <w:szCs w:val="11"/>
                <w:color w:val="auto"/>
              </w:rPr>
            </w:pPr>
          </w:p>
        </w:tc>
        <w:tc>
          <w:tcPr>
            <w:tcW w:w="4540" w:type="dxa"/>
            <w:vAlign w:val="bottom"/>
            <w:tcBorders>
              <w:top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4"/>
                <w:szCs w:val="14"/>
                <w:color w:val="0000EE"/>
              </w:rPr>
              <w:t>Consent of Campbells LLP (included in Exhibit 5.1)</w:t>
            </w:r>
          </w:p>
        </w:tc>
        <w:tc>
          <w:tcPr>
            <w:tcW w:w="5900" w:type="dxa"/>
            <w:vAlign w:val="bottom"/>
            <w:tcBorders>
              <w:top w:val="single" w:sz="8" w:color="CCEEFF"/>
            </w:tcBorders>
            <w:gridSpan w:val="2"/>
          </w:tcPr>
          <w:p>
            <w:pPr>
              <w:spacing w:after="0"/>
              <w:rPr>
                <w:sz w:val="11"/>
                <w:szCs w:val="11"/>
                <w:color w:val="auto"/>
              </w:rPr>
            </w:pPr>
          </w:p>
        </w:tc>
      </w:tr>
      <w:tr>
        <w:trPr>
          <w:trHeight w:val="144"/>
        </w:trPr>
        <w:tc>
          <w:tcPr>
            <w:tcW w:w="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2"/>
                <w:szCs w:val="12"/>
                <w:color w:val="auto"/>
              </w:rPr>
            </w:pPr>
          </w:p>
        </w:tc>
        <w:tc>
          <w:tcPr>
            <w:tcW w:w="2860" w:type="dxa"/>
            <w:vAlign w:val="bottom"/>
            <w:tcBorders>
              <w:top w:val="single" w:sz="8" w:color="0000EE"/>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Consent of Jingtian &amp; Gongcheng</w:t>
            </w:r>
          </w:p>
        </w:tc>
        <w:tc>
          <w:tcPr>
            <w:tcW w:w="7580" w:type="dxa"/>
            <w:vAlign w:val="bottom"/>
            <w:gridSpan w:val="4"/>
            <w:shd w:val="clear" w:color="auto" w:fill="CCEEFF"/>
          </w:tcPr>
          <w:p>
            <w:pPr>
              <w:spacing w:after="0"/>
              <w:rPr>
                <w:sz w:val="12"/>
                <w:szCs w:val="12"/>
                <w:color w:val="auto"/>
              </w:rPr>
            </w:pPr>
          </w:p>
        </w:tc>
      </w:tr>
      <w:tr>
        <w:trPr>
          <w:trHeight w:val="31"/>
        </w:trPr>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r>
      <w:tr>
        <w:trPr>
          <w:trHeight w:val="133"/>
        </w:trPr>
        <w:tc>
          <w:tcPr>
            <w:tcW w:w="74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1"/>
                <w:szCs w:val="11"/>
                <w:color w:val="auto"/>
              </w:rPr>
            </w:pPr>
          </w:p>
        </w:tc>
        <w:tc>
          <w:tcPr>
            <w:tcW w:w="10440" w:type="dxa"/>
            <w:vAlign w:val="bottom"/>
            <w:gridSpan w:val="9"/>
          </w:tcPr>
          <w:p>
            <w:pPr>
              <w:spacing w:after="0" w:line="133" w:lineRule="exact"/>
              <w:rPr>
                <w:sz w:val="20"/>
                <w:szCs w:val="20"/>
                <w:color w:val="auto"/>
              </w:rPr>
            </w:pPr>
            <w:r>
              <w:rPr>
                <w:rFonts w:ascii="Times New Roman" w:cs="Times New Roman" w:eastAsia="Times New Roman" w:hAnsi="Times New Roman"/>
                <w:sz w:val="14"/>
                <w:szCs w:val="14"/>
                <w:color w:val="0000EE"/>
              </w:rPr>
              <w:t>Power of Attorney (included on the signature page hereof)</w:t>
            </w:r>
          </w:p>
        </w:tc>
      </w:tr>
      <w:tr>
        <w:trPr>
          <w:trHeight w:val="144"/>
        </w:trPr>
        <w:tc>
          <w:tcPr>
            <w:tcW w:w="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2"/>
                <w:szCs w:val="12"/>
                <w:color w:val="auto"/>
              </w:rPr>
            </w:pPr>
          </w:p>
        </w:tc>
        <w:tc>
          <w:tcPr>
            <w:tcW w:w="3180" w:type="dxa"/>
            <w:vAlign w:val="bottom"/>
            <w:tcBorders>
              <w:top w:val="single" w:sz="8" w:color="0000EE"/>
            </w:tcBorders>
            <w:gridSpan w:val="6"/>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0000EE"/>
              </w:rPr>
              <w:t>Filing Fee Table</w:t>
            </w:r>
          </w:p>
        </w:tc>
        <w:tc>
          <w:tcPr>
            <w:tcW w:w="7260" w:type="dxa"/>
            <w:vAlign w:val="bottom"/>
            <w:gridSpan w:val="3"/>
            <w:shd w:val="clear" w:color="auto" w:fill="CCEEFF"/>
          </w:tcPr>
          <w:p>
            <w:pPr>
              <w:spacing w:after="0"/>
              <w:rPr>
                <w:sz w:val="12"/>
                <w:szCs w:val="12"/>
                <w:color w:val="auto"/>
              </w:rPr>
            </w:pPr>
          </w:p>
        </w:tc>
      </w:tr>
      <w:tr>
        <w:trPr>
          <w:trHeight w:val="31"/>
        </w:trPr>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ind w:left="240" w:hanging="238"/>
        <w:spacing w:after="0"/>
        <w:tabs>
          <w:tab w:leader="none" w:pos="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67" w:lineRule="exact"/>
        <w:rPr>
          <w:sz w:val="20"/>
          <w:szCs w:val="20"/>
          <w:color w:val="auto"/>
        </w:rPr>
      </w:pPr>
    </w:p>
    <w:p>
      <w:pPr>
        <w:ind w:left="240" w:hanging="238"/>
        <w:spacing w:after="0" w:line="266" w:lineRule="auto"/>
        <w:tabs>
          <w:tab w:leader="none" w:pos="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filing with the SEC under Section 13 or 15(d) of the Securities Exchange Act of 1934 and incorporated by reference in connection with the offering of securities to the extent required for any such offering.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54"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F-3 and has duly caused this Form F-3 to be signed on its behalf by the undersigned, thereunto duly authorized, in Beijing, China, on June 8, 2026.</w:t>
      </w:r>
    </w:p>
    <w:p>
      <w:pPr>
        <w:spacing w:after="0" w:line="1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LEISHEN ENERGY HOLDING CO., LTD.</w:t>
      </w:r>
    </w:p>
    <w:p>
      <w:pPr>
        <w:spacing w:after="0" w:line="167" w:lineRule="exact"/>
        <w:rPr>
          <w:sz w:val="20"/>
          <w:szCs w:val="20"/>
          <w:color w:val="auto"/>
        </w:rPr>
      </w:pPr>
    </w:p>
    <w:tbl>
      <w:tblPr>
        <w:tblLayout w:type="fixed"/>
        <w:tblInd w:w="5640" w:type="dxa"/>
        <w:tblCellMar>
          <w:top w:w="0" w:type="dxa"/>
          <w:left w:w="0" w:type="dxa"/>
          <w:bottom w:w="0" w:type="dxa"/>
          <w:right w:w="0" w:type="dxa"/>
        </w:tblCellMar>
      </w:tblPr>
      <w:tr>
        <w:trPr>
          <w:trHeight w:val="180"/>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 Hongliang Li</w:t>
            </w:r>
          </w:p>
        </w:tc>
        <w:tc>
          <w:tcPr>
            <w:tcW w:w="0" w:type="dxa"/>
            <w:vAlign w:val="bottom"/>
          </w:tcPr>
          <w:p>
            <w:pPr>
              <w:spacing w:after="0"/>
              <w:rPr>
                <w:sz w:val="1"/>
                <w:szCs w:val="1"/>
                <w:color w:val="auto"/>
              </w:rPr>
            </w:pPr>
          </w:p>
        </w:tc>
      </w:tr>
      <w:tr>
        <w:trPr>
          <w:trHeight w:val="22"/>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5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60" w:type="dxa"/>
            <w:vAlign w:val="bottom"/>
            <w:vMerge w:val="continue"/>
          </w:tcPr>
          <w:p>
            <w:pPr>
              <w:spacing w:after="0"/>
              <w:rPr>
                <w:sz w:val="12"/>
                <w:szCs w:val="12"/>
                <w:color w:val="auto"/>
              </w:rPr>
            </w:pPr>
          </w:p>
        </w:tc>
        <w:tc>
          <w:tcPr>
            <w:tcW w:w="5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Hongliang Li</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0" w:type="dxa"/>
            <w:vAlign w:val="bottom"/>
          </w:tcPr>
          <w:p>
            <w:pPr>
              <w:spacing w:after="0"/>
              <w:rPr>
                <w:sz w:val="1"/>
                <w:szCs w:val="1"/>
                <w:color w:val="auto"/>
              </w:rPr>
            </w:pPr>
          </w:p>
        </w:tc>
      </w:tr>
      <w:tr>
        <w:trPr>
          <w:trHeight w:val="32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Zhiping Yu</w:t>
            </w:r>
          </w:p>
        </w:tc>
        <w:tc>
          <w:tcPr>
            <w:tcW w:w="0" w:type="dxa"/>
            <w:vAlign w:val="bottom"/>
          </w:tcPr>
          <w:p>
            <w:pPr>
              <w:spacing w:after="0"/>
              <w:rPr>
                <w:sz w:val="1"/>
                <w:szCs w:val="1"/>
                <w:color w:val="auto"/>
              </w:rPr>
            </w:pPr>
          </w:p>
        </w:tc>
      </w:tr>
      <w:tr>
        <w:trPr>
          <w:trHeight w:val="143"/>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Zhiping Yu</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1" w:lineRule="exact"/>
        <w:rPr>
          <w:sz w:val="20"/>
          <w:szCs w:val="20"/>
          <w:color w:val="auto"/>
        </w:rPr>
      </w:pPr>
    </w:p>
    <w:p>
      <w:pPr>
        <w:jc w:val="both"/>
        <w:ind w:firstLine="492"/>
        <w:spacing w:after="0" w:line="248" w:lineRule="auto"/>
        <w:rPr>
          <w:sz w:val="20"/>
          <w:szCs w:val="20"/>
          <w:color w:val="auto"/>
        </w:rPr>
      </w:pPr>
      <w:r>
        <w:rPr>
          <w:rFonts w:ascii="Times New Roman" w:cs="Times New Roman" w:eastAsia="Times New Roman" w:hAnsi="Times New Roman"/>
          <w:sz w:val="14"/>
          <w:szCs w:val="14"/>
          <w:color w:val="auto"/>
        </w:rPr>
        <w:t>KNOW ALL MEN BY THESE PRESENTS, that each person whose individual signature appears below hereby authorizes and appoints Hongliang Li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any related registration statement filed pursuant to Rule 462(b) under the Securities Act of 1933, as amended, and any or all pre- or post-effective amendments thereto, and to file the same, with all exhibits thereto, and all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for all intents and purposes as he or she might or could do in person, hereby ratifying and confirming that said attorneys-in-fact and agents, and each of them, or any substitute or substitutes for each of them, may lawfully do or cause to be done by virtue hereof.</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following persons in the capacities have signed this registration statement below on June 8, 2026.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55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19"/>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Hongqi Li</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Chairman of the Board of Directors</w:t>
            </w:r>
          </w:p>
        </w:tc>
      </w:tr>
      <w:tr>
        <w:trPr>
          <w:trHeight w:val="167"/>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Hongqi Li</w:t>
            </w:r>
          </w:p>
        </w:tc>
        <w:tc>
          <w:tcPr>
            <w:tcW w:w="220" w:type="dxa"/>
            <w:vAlign w:val="bottom"/>
          </w:tcPr>
          <w:p>
            <w:pPr>
              <w:spacing w:after="0"/>
              <w:rPr>
                <w:sz w:val="14"/>
                <w:szCs w:val="14"/>
                <w:color w:val="auto"/>
              </w:rPr>
            </w:pPr>
          </w:p>
        </w:tc>
        <w:tc>
          <w:tcPr>
            <w:tcW w:w="5520" w:type="dxa"/>
            <w:vAlign w:val="bottom"/>
          </w:tcPr>
          <w:p>
            <w:pPr>
              <w:spacing w:after="0"/>
              <w:rPr>
                <w:sz w:val="14"/>
                <w:szCs w:val="14"/>
                <w:color w:val="auto"/>
              </w:rPr>
            </w:pPr>
          </w:p>
        </w:tc>
      </w:tr>
      <w:tr>
        <w:trPr>
          <w:trHeight w:val="3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Hongliang Li</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7"/>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Hongliang Li</w:t>
            </w:r>
          </w:p>
        </w:tc>
        <w:tc>
          <w:tcPr>
            <w:tcW w:w="5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(Principal Executive Officer)</w:t>
            </w:r>
          </w:p>
        </w:tc>
      </w:tr>
      <w:tr>
        <w:trPr>
          <w:trHeight w:val="3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Zhiping Yu</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7"/>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Zhiping Yu</w:t>
            </w:r>
          </w:p>
        </w:tc>
        <w:tc>
          <w:tcPr>
            <w:tcW w:w="5740" w:type="dxa"/>
            <w:vAlign w:val="bottom"/>
            <w:gridSpan w:val="2"/>
          </w:tcPr>
          <w:p>
            <w:pPr>
              <w:ind w:left="220"/>
              <w:spacing w:after="0" w:line="156" w:lineRule="exact"/>
              <w:rPr>
                <w:sz w:val="20"/>
                <w:szCs w:val="20"/>
                <w:color w:val="auto"/>
              </w:rPr>
            </w:pPr>
            <w:r>
              <w:rPr>
                <w:rFonts w:ascii="Times New Roman" w:cs="Times New Roman" w:eastAsia="Times New Roman" w:hAnsi="Times New Roman"/>
                <w:sz w:val="14"/>
                <w:szCs w:val="14"/>
                <w:color w:val="auto"/>
              </w:rPr>
              <w:t>(Principal Financial Officer)</w:t>
            </w:r>
          </w:p>
        </w:tc>
      </w:tr>
      <w:tr>
        <w:trPr>
          <w:trHeight w:val="3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Lufeng Cheng</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167"/>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Lufeng Cheng</w:t>
            </w:r>
          </w:p>
        </w:tc>
        <w:tc>
          <w:tcPr>
            <w:tcW w:w="220" w:type="dxa"/>
            <w:vAlign w:val="bottom"/>
          </w:tcPr>
          <w:p>
            <w:pPr>
              <w:spacing w:after="0"/>
              <w:rPr>
                <w:sz w:val="14"/>
                <w:szCs w:val="14"/>
                <w:color w:val="auto"/>
              </w:rPr>
            </w:pPr>
          </w:p>
        </w:tc>
        <w:tc>
          <w:tcPr>
            <w:tcW w:w="5520" w:type="dxa"/>
            <w:vAlign w:val="bottom"/>
          </w:tcPr>
          <w:p>
            <w:pPr>
              <w:spacing w:after="0"/>
              <w:rPr>
                <w:sz w:val="14"/>
                <w:szCs w:val="14"/>
                <w:color w:val="auto"/>
              </w:rPr>
            </w:pPr>
          </w:p>
        </w:tc>
      </w:tr>
      <w:tr>
        <w:trPr>
          <w:trHeight w:val="3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Jingping Sun</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167"/>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Jingping Sun</w:t>
            </w:r>
          </w:p>
        </w:tc>
        <w:tc>
          <w:tcPr>
            <w:tcW w:w="220" w:type="dxa"/>
            <w:vAlign w:val="bottom"/>
          </w:tcPr>
          <w:p>
            <w:pPr>
              <w:spacing w:after="0"/>
              <w:rPr>
                <w:sz w:val="14"/>
                <w:szCs w:val="14"/>
                <w:color w:val="auto"/>
              </w:rPr>
            </w:pPr>
          </w:p>
        </w:tc>
        <w:tc>
          <w:tcPr>
            <w:tcW w:w="5520" w:type="dxa"/>
            <w:vAlign w:val="bottom"/>
          </w:tcPr>
          <w:p>
            <w:pPr>
              <w:spacing w:after="0"/>
              <w:rPr>
                <w:sz w:val="14"/>
                <w:szCs w:val="14"/>
                <w:color w:val="auto"/>
              </w:rPr>
            </w:pPr>
          </w:p>
        </w:tc>
      </w:tr>
      <w:tr>
        <w:trPr>
          <w:trHeight w:val="3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Bin Dong</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Independent Director</w:t>
            </w:r>
          </w:p>
        </w:tc>
      </w:tr>
      <w:tr>
        <w:trPr>
          <w:trHeight w:val="167"/>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Bin Dong</w:t>
            </w:r>
          </w:p>
        </w:tc>
        <w:tc>
          <w:tcPr>
            <w:tcW w:w="220" w:type="dxa"/>
            <w:vAlign w:val="bottom"/>
          </w:tcPr>
          <w:p>
            <w:pPr>
              <w:spacing w:after="0"/>
              <w:rPr>
                <w:sz w:val="14"/>
                <w:szCs w:val="14"/>
                <w:color w:val="auto"/>
              </w:rPr>
            </w:pPr>
          </w:p>
        </w:tc>
        <w:tc>
          <w:tcPr>
            <w:tcW w:w="5520" w:type="dxa"/>
            <w:vAlign w:val="bottom"/>
          </w:tcPr>
          <w:p>
            <w:pPr>
              <w:spacing w:after="0"/>
              <w:rPr>
                <w:sz w:val="14"/>
                <w:szCs w:val="14"/>
                <w:color w:val="auto"/>
              </w:rPr>
            </w:pPr>
          </w:p>
        </w:tc>
      </w:tr>
      <w:tr>
        <w:trPr>
          <w:trHeight w:val="316"/>
        </w:trPr>
        <w:tc>
          <w:tcPr>
            <w:tcW w:w="55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II-5</w:t>
            </w:r>
          </w:p>
        </w:tc>
      </w:tr>
    </w:tbl>
    <w:p>
      <w:pPr>
        <w:sectPr>
          <w:pgSz w:w="11900" w:h="16838" w:orient="portrait"/>
          <w:cols w:equalWidth="0" w:num="1">
            <w:col w:w="11280"/>
          </w:cols>
          <w:pgMar w:left="300" w:top="554"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U.S. REPRESENTATIVE OF THE REGISTRANT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Pursuant to the Securities Act, the undersigned, the duly authorized representative in the United States of the registrant has signed this registration statement thereto in Newark, DE on June 8, 2026.</w:t>
      </w:r>
    </w:p>
    <w:p>
      <w:pPr>
        <w:spacing w:after="0" w:line="1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Puglisi &amp; Associates</w:t>
      </w:r>
    </w:p>
    <w:p>
      <w:pPr>
        <w:spacing w:after="0" w:line="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Authorized U.S. Representative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0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Donald J. Puglisi</w:t>
            </w:r>
          </w:p>
        </w:tc>
      </w:tr>
      <w:tr>
        <w:trPr>
          <w:trHeight w:val="143"/>
        </w:trPr>
        <w:tc>
          <w:tcPr>
            <w:tcW w:w="6200" w:type="dxa"/>
            <w:vAlign w:val="bottom"/>
          </w:tcPr>
          <w:p>
            <w:pPr>
              <w:ind w:left="564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Donald J. Puglisi</w:t>
            </w:r>
          </w:p>
        </w:tc>
      </w:tr>
      <w:tr>
        <w:trPr>
          <w:trHeight w:val="176"/>
        </w:trPr>
        <w:tc>
          <w:tcPr>
            <w:tcW w:w="6200" w:type="dxa"/>
            <w:vAlign w:val="bottom"/>
          </w:tcPr>
          <w:p>
            <w:pPr>
              <w:ind w:left="5640"/>
              <w:spacing w:after="0"/>
              <w:rPr>
                <w:sz w:val="20"/>
                <w:szCs w:val="20"/>
                <w:color w:val="auto"/>
              </w:rPr>
            </w:pPr>
            <w:r>
              <w:rPr>
                <w:rFonts w:ascii="Times New Roman" w:cs="Times New Roman" w:eastAsia="Times New Roman" w:hAnsi="Times New Roman"/>
                <w:sz w:val="14"/>
                <w:szCs w:val="14"/>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Managing Director Puglisi &amp; Associates</w:t>
            </w:r>
          </w:p>
        </w:tc>
      </w:tr>
      <w:tr>
        <w:trPr>
          <w:trHeight w:val="329"/>
        </w:trPr>
        <w:tc>
          <w:tcPr>
            <w:tcW w:w="62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II-6</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4"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Campbells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1497965" cy="149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497965" cy="1498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Floor 4, Willow House | Cricket Square</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Grand Cayman KY1-9010 | Cayman Islands</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@campbellslegal.com</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 </w:t>
      </w:r>
      <w:r>
        <w:rPr>
          <w:rFonts w:ascii="Times New Roman" w:cs="Times New Roman" w:eastAsia="Times New Roman" w:hAnsi="Times New Roman"/>
          <w:sz w:val="14"/>
          <w:szCs w:val="14"/>
          <w:color w:val="auto"/>
        </w:rPr>
        <w:t>+1 345 949 2648 |</w:t>
      </w:r>
      <w:r>
        <w:rPr>
          <w:rFonts w:ascii="Times New Roman" w:cs="Times New Roman" w:eastAsia="Times New Roman" w:hAnsi="Times New Roman"/>
          <w:sz w:val="14"/>
          <w:szCs w:val="14"/>
          <w:b w:val="1"/>
          <w:bCs w:val="1"/>
          <w:color w:val="auto"/>
        </w:rPr>
        <w:t xml:space="preserve"> f. </w:t>
      </w:r>
      <w:r>
        <w:rPr>
          <w:rFonts w:ascii="Times New Roman" w:cs="Times New Roman" w:eastAsia="Times New Roman" w:hAnsi="Times New Roman"/>
          <w:sz w:val="14"/>
          <w:szCs w:val="14"/>
          <w:color w:val="auto"/>
        </w:rPr>
        <w:t>+1 345 949 8613</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campbellslegal.com</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Our Ref: </w:t>
      </w:r>
      <w:r>
        <w:rPr>
          <w:rFonts w:ascii="Times New Roman" w:cs="Times New Roman" w:eastAsia="Times New Roman" w:hAnsi="Times New Roman"/>
          <w:sz w:val="14"/>
          <w:szCs w:val="14"/>
          <w:color w:val="auto"/>
        </w:rPr>
        <w:t>ACL 00773-42139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Your Ref: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Leishen Energy Holding Co.,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 June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Sirs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Leishen Energy Holding Co., Ltd.</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auto"/>
        </w:rPr>
        <w:t xml:space="preserve">We have acted as Cayman Islands counsel to </w:t>
      </w:r>
      <w:r>
        <w:rPr>
          <w:rFonts w:ascii="Times New Roman" w:cs="Times New Roman" w:eastAsia="Times New Roman" w:hAnsi="Times New Roman"/>
          <w:sz w:val="13"/>
          <w:szCs w:val="13"/>
          <w:b w:val="1"/>
          <w:bCs w:val="1"/>
          <w:color w:val="auto"/>
        </w:rPr>
        <w:t>Leishen Energy Holding Co., Ltd.</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in connection with the Company’s registration statement on Form F-3 including all amendments or supplements thereto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filed with the United States Securities and Exchange Commission (the “</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under the U.S. Securities Act of 1933, as amended (the “</w:t>
      </w:r>
      <w:r>
        <w:rPr>
          <w:rFonts w:ascii="Times New Roman" w:cs="Times New Roman" w:eastAsia="Times New Roman" w:hAnsi="Times New Roman"/>
          <w:sz w:val="13"/>
          <w:szCs w:val="13"/>
          <w:b w:val="1"/>
          <w:bCs w:val="1"/>
          <w:color w:val="auto"/>
        </w:rPr>
        <w:t>Act</w:t>
      </w:r>
      <w:r>
        <w:rPr>
          <w:rFonts w:ascii="Times New Roman" w:cs="Times New Roman" w:eastAsia="Times New Roman" w:hAnsi="Times New Roman"/>
          <w:sz w:val="13"/>
          <w:szCs w:val="13"/>
          <w:color w:val="auto"/>
        </w:rPr>
        <w:t>”). The Registration Statement relates to the offering, issuance and sale from time to time, in one or more offerings, of up to US$150,000,000 of the following securities of the Company (the “</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160" w:hanging="158"/>
        <w:spacing w:after="0"/>
        <w:tabs>
          <w:tab w:leader="none" w:pos="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ordinary shares of a par value of US$0.001 each of the Company (the “</w:t>
      </w:r>
      <w:r>
        <w:rPr>
          <w:rFonts w:ascii="Times New Roman" w:cs="Times New Roman" w:eastAsia="Times New Roman" w:hAnsi="Times New Roman"/>
          <w:sz w:val="14"/>
          <w:szCs w:val="14"/>
          <w:b w:val="1"/>
          <w:bCs w:val="1"/>
          <w:color w:val="auto"/>
        </w:rPr>
        <w:t>Class A Shares</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the Class A Shares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issuable pursuant to the terms of a warrant agreement and a warrant certificate (together, the “</w:t>
      </w:r>
      <w:r>
        <w:rPr>
          <w:rFonts w:ascii="Times New Roman" w:cs="Times New Roman" w:eastAsia="Times New Roman" w:hAnsi="Times New Roman"/>
          <w:sz w:val="14"/>
          <w:szCs w:val="14"/>
          <w:b w:val="1"/>
          <w:bCs w:val="1"/>
          <w:color w:val="auto"/>
        </w:rPr>
        <w:t>Warrants Documents</w:t>
      </w:r>
      <w:r>
        <w:rPr>
          <w:rFonts w:ascii="Times New Roman" w:cs="Times New Roman" w:eastAsia="Times New Roman" w:hAnsi="Times New Roman"/>
          <w:sz w:val="14"/>
          <w:szCs w:val="14"/>
          <w:color w:val="auto"/>
        </w:rPr>
        <w:t>”);</w:t>
      </w:r>
    </w:p>
    <w:p>
      <w:pPr>
        <w:spacing w:after="0" w:line="167" w:lineRule="exact"/>
        <w:rPr>
          <w:rFonts w:ascii="Times New Roman" w:cs="Times New Roman" w:eastAsia="Times New Roman" w:hAnsi="Times New Roman"/>
          <w:sz w:val="14"/>
          <w:szCs w:val="14"/>
          <w:color w:val="auto"/>
        </w:rPr>
      </w:pPr>
    </w:p>
    <w:p>
      <w:pPr>
        <w:jc w:val="both"/>
        <w:ind w:firstLine="2"/>
        <w:spacing w:after="0" w:line="258" w:lineRule="auto"/>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of the Company which may be convertible into the Class A Shares (together,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each series of the Debt Securities to be issued pursuant to a debt securities document or agreement to be entered into by the Company (each, a “</w:t>
      </w:r>
      <w:r>
        <w:rPr>
          <w:rFonts w:ascii="Times New Roman" w:cs="Times New Roman" w:eastAsia="Times New Roman" w:hAnsi="Times New Roman"/>
          <w:sz w:val="14"/>
          <w:szCs w:val="14"/>
          <w:b w:val="1"/>
          <w:bCs w:val="1"/>
          <w:color w:val="auto"/>
        </w:rPr>
        <w:t>Debt Securities Agreement</w:t>
      </w:r>
      <w:r>
        <w:rPr>
          <w:rFonts w:ascii="Times New Roman" w:cs="Times New Roman" w:eastAsia="Times New Roman" w:hAnsi="Times New Roman"/>
          <w:sz w:val="14"/>
          <w:szCs w:val="14"/>
          <w:color w:val="auto"/>
        </w:rPr>
        <w:t>”), which Debt Securities are not subject to the Trust Indenture Act of 1939 and accordingly will not be issued under an indenture with a trustee;</w:t>
      </w:r>
    </w:p>
    <w:p>
      <w:pPr>
        <w:spacing w:after="0" w:line="13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to purchase the Class A Shares (the “</w:t>
      </w: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4"/>
          <w:szCs w:val="14"/>
          <w:color w:val="auto"/>
        </w:rPr>
        <w:t>”) issuable pursuant to the terms of a rights agent agreement and a right certificate (together, the “</w:t>
      </w:r>
      <w:r>
        <w:rPr>
          <w:rFonts w:ascii="Times New Roman" w:cs="Times New Roman" w:eastAsia="Times New Roman" w:hAnsi="Times New Roman"/>
          <w:sz w:val="14"/>
          <w:szCs w:val="14"/>
          <w:b w:val="1"/>
          <w:bCs w:val="1"/>
          <w:color w:val="auto"/>
        </w:rPr>
        <w:t>Rights Documents</w:t>
      </w:r>
      <w:r>
        <w:rPr>
          <w:rFonts w:ascii="Times New Roman" w:cs="Times New Roman" w:eastAsia="Times New Roman" w:hAnsi="Times New Roman"/>
          <w:sz w:val="14"/>
          <w:szCs w:val="14"/>
          <w:color w:val="auto"/>
        </w:rPr>
        <w:t>”); and</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composed of any combination of the securities described above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issuable pursuant to the terms of a unit agreement and a unit certificate (together, the “</w:t>
      </w:r>
      <w:r>
        <w:rPr>
          <w:rFonts w:ascii="Times New Roman" w:cs="Times New Roman" w:eastAsia="Times New Roman" w:hAnsi="Times New Roman"/>
          <w:sz w:val="14"/>
          <w:szCs w:val="14"/>
          <w:b w:val="1"/>
          <w:bCs w:val="1"/>
          <w:color w:val="auto"/>
        </w:rPr>
        <w:t>Units Documents</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furnishing this opinion as Exhibit 5.1, 8.1 and 23.2 to the Registration Statement.</w:t>
      </w:r>
    </w:p>
    <w:p>
      <w:pPr>
        <w:spacing w:after="0" w:line="167" w:lineRule="exact"/>
        <w:rPr>
          <w:sz w:val="20"/>
          <w:szCs w:val="20"/>
          <w:color w:val="auto"/>
        </w:rPr>
      </w:pPr>
    </w:p>
    <w:p>
      <w:pPr>
        <w:spacing w:after="0"/>
        <w:tabs>
          <w:tab w:leader="none" w:pos="5580" w:val="left"/>
          <w:tab w:leader="none" w:pos="10180" w:val="left"/>
        </w:tabs>
        <w:rPr>
          <w:sz w:val="20"/>
          <w:szCs w:val="20"/>
          <w:color w:val="auto"/>
        </w:rPr>
      </w:pPr>
      <w:r>
        <w:rPr>
          <w:rFonts w:ascii="Times New Roman" w:cs="Times New Roman" w:eastAsia="Times New Roman" w:hAnsi="Times New Roman"/>
          <w:sz w:val="14"/>
          <w:szCs w:val="14"/>
          <w:color w:val="auto"/>
        </w:rPr>
        <w:t>CAYMAN | BVI | HONG KONG</w:t>
      </w:r>
      <w:r>
        <w:rPr>
          <w:sz w:val="20"/>
          <w:szCs w:val="20"/>
          <w:color w:val="auto"/>
        </w:rPr>
        <w:tab/>
      </w: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campbellslegal.com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5" w:name="page56"/>
    <w:bookmarkEnd w:id="55"/>
    <w:p>
      <w:pPr>
        <w:ind w:left="500" w:hanging="498"/>
        <w:spacing w:after="0"/>
        <w:tabs>
          <w:tab w:leader="none" w:pos="50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349250</wp:posOffset>
            </wp:positionV>
            <wp:extent cx="1497965" cy="149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497965" cy="149860"/>
                    </a:xfrm>
                    <a:prstGeom prst="rect">
                      <a:avLst/>
                    </a:prstGeom>
                    <a:noFill/>
                  </pic:spPr>
                </pic:pic>
              </a:graphicData>
            </a:graphic>
          </wp:anchor>
        </w:drawing>
        <w:t>Documents Reviewed</w:t>
      </w:r>
    </w:p>
    <w:p>
      <w:pPr>
        <w:spacing w:after="0" w:line="171"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purposes of this opinion, we have reviewed only originals, copies or final drafts or conformed copies of the following documents:</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color w:val="auto"/>
        </w:rPr>
        <w:t>The certificate of incorporation of the Company dated 19 October 2022.</w:t>
      </w:r>
    </w:p>
    <w:p>
      <w:pPr>
        <w:spacing w:after="0" w:line="16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3"/>
          <w:szCs w:val="13"/>
          <w:color w:val="auto"/>
        </w:rPr>
        <w:t xml:space="preserve">The second amended and restated memorandum and articles of association of the Company adopted by special resolution dated 29 January 2026 (the “ </w:t>
      </w:r>
      <w:r>
        <w:rPr>
          <w:rFonts w:ascii="Times New Roman" w:cs="Times New Roman" w:eastAsia="Times New Roman" w:hAnsi="Times New Roman"/>
          <w:sz w:val="13"/>
          <w:szCs w:val="13"/>
          <w:b w:val="1"/>
          <w:bCs w:val="1"/>
          <w:color w:val="auto"/>
        </w:rPr>
        <w:t>Memorandum and Articles</w:t>
      </w:r>
      <w:r>
        <w:rPr>
          <w:rFonts w:ascii="Times New Roman" w:cs="Times New Roman" w:eastAsia="Times New Roman" w:hAnsi="Times New Roman"/>
          <w:sz w:val="13"/>
          <w:szCs w:val="13"/>
          <w:color w:val="auto"/>
        </w:rPr>
        <w:t>”).</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3"/>
          <w:szCs w:val="13"/>
          <w:color w:val="auto"/>
        </w:rPr>
        <w:t>The written resolutions of the directors of the Company dated 4 June 2026 (the “</w:t>
      </w:r>
      <w:r>
        <w:rPr>
          <w:rFonts w:ascii="Times New Roman" w:cs="Times New Roman" w:eastAsia="Times New Roman" w:hAnsi="Times New Roman"/>
          <w:sz w:val="13"/>
          <w:szCs w:val="13"/>
          <w:b w:val="1"/>
          <w:bCs w:val="1"/>
          <w:color w:val="auto"/>
        </w:rPr>
        <w:t>Resolutions</w:t>
      </w:r>
      <w:r>
        <w:rPr>
          <w:rFonts w:ascii="Times New Roman" w:cs="Times New Roman" w:eastAsia="Times New Roman" w:hAnsi="Times New Roman"/>
          <w:sz w:val="13"/>
          <w:szCs w:val="13"/>
          <w:color w:val="auto"/>
        </w:rPr>
        <w:t>”).</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3"/>
          <w:szCs w:val="13"/>
          <w:color w:val="auto"/>
        </w:rPr>
        <w:t>A certificate of good standing dated 5 June 2026, issued by the Registrar of Companies in the Cayman Islands (the “</w:t>
      </w:r>
      <w:r>
        <w:rPr>
          <w:rFonts w:ascii="Times New Roman" w:cs="Times New Roman" w:eastAsia="Times New Roman" w:hAnsi="Times New Roman"/>
          <w:sz w:val="13"/>
          <w:szCs w:val="13"/>
          <w:b w:val="1"/>
          <w:bCs w:val="1"/>
          <w:color w:val="auto"/>
        </w:rPr>
        <w:t>Certificate of Good Standing</w:t>
      </w:r>
      <w:r>
        <w:rPr>
          <w:rFonts w:ascii="Times New Roman" w:cs="Times New Roman" w:eastAsia="Times New Roman" w:hAnsi="Times New Roman"/>
          <w:sz w:val="13"/>
          <w:szCs w:val="13"/>
          <w:color w:val="auto"/>
        </w:rPr>
        <w:t>”).</w:t>
      </w:r>
    </w:p>
    <w:p>
      <w:pPr>
        <w:spacing w:after="0" w:line="1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3"/>
          <w:szCs w:val="13"/>
          <w:color w:val="auto"/>
        </w:rPr>
        <w:t>The Registration Statement.</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3"/>
          <w:szCs w:val="13"/>
          <w:color w:val="auto"/>
        </w:rPr>
        <w:t>The Warrants Documents.</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3"/>
          <w:szCs w:val="13"/>
          <w:color w:val="auto"/>
        </w:rPr>
        <w:t>The Debt Securities Agreement.</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3"/>
          <w:szCs w:val="13"/>
          <w:color w:val="auto"/>
        </w:rPr>
        <w:t>The Rights Documents.</w:t>
      </w:r>
    </w:p>
    <w:p>
      <w:pPr>
        <w:spacing w:after="0" w:line="16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3"/>
          <w:szCs w:val="13"/>
          <w:color w:val="auto"/>
        </w:rPr>
        <w:t>The Units Documents (collectively with the Registration Statement, the Warrants Documents, the Debt Securities Agreement and the Rights Documents, the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w:t>
      </w:r>
    </w:p>
    <w:p>
      <w:pPr>
        <w:spacing w:after="0" w:line="167" w:lineRule="exact"/>
        <w:rPr>
          <w:sz w:val="20"/>
          <w:szCs w:val="20"/>
          <w:color w:val="auto"/>
        </w:rPr>
      </w:pPr>
    </w:p>
    <w:p>
      <w:pPr>
        <w:ind w:left="500" w:hanging="498"/>
        <w:spacing w:after="0"/>
        <w:tabs>
          <w:tab w:leader="none" w:pos="50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71" w:lineRule="exact"/>
        <w:rPr>
          <w:rFonts w:ascii="Times New Roman" w:cs="Times New Roman" w:eastAsia="Times New Roman" w:hAnsi="Times New Roman"/>
          <w:sz w:val="14"/>
          <w:szCs w:val="14"/>
          <w:b w:val="1"/>
          <w:bCs w:val="1"/>
          <w:color w:val="auto"/>
        </w:rPr>
      </w:pPr>
    </w:p>
    <w:p>
      <w:pPr>
        <w:jc w:val="both"/>
        <w:ind w:left="500"/>
        <w:spacing w:after="0" w:line="25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of the documents set out above. We have also relied upon the following assumptions, which we have not independently verified:</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3"/>
          <w:szCs w:val="13"/>
          <w:color w:val="auto"/>
        </w:rPr>
        <w:t>Copies of documents, conformed copies or drafts of documents provided to us are true and complete copies of, or in the final forms of, the originals.</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3"/>
          <w:szCs w:val="13"/>
          <w:color w:val="auto"/>
        </w:rPr>
        <w:t>The genuineness of all signatures and seals.</w:t>
      </w:r>
    </w:p>
    <w:p>
      <w:pPr>
        <w:spacing w:after="0" w:line="167" w:lineRule="exact"/>
        <w:rPr>
          <w:sz w:val="20"/>
          <w:szCs w:val="20"/>
          <w:color w:val="auto"/>
        </w:rPr>
      </w:pPr>
    </w:p>
    <w:p>
      <w:pPr>
        <w:ind w:left="500" w:hanging="491"/>
        <w:spacing w:after="0" w:line="266" w:lineRule="auto"/>
        <w:tabs>
          <w:tab w:leader="none" w:pos="4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color w:val="auto"/>
        </w:rPr>
        <w:t>There is nothing under any law (other than the law of the Cayman Islands), and there is nothing contained in the minute book or corporate records of the Company (which we have not inspected), which would or might affect the opinions set out below.</w:t>
      </w:r>
    </w:p>
    <w:p>
      <w:pPr>
        <w:spacing w:after="0" w:line="136" w:lineRule="exact"/>
        <w:rPr>
          <w:sz w:val="20"/>
          <w:szCs w:val="20"/>
          <w:color w:val="auto"/>
        </w:rPr>
      </w:pPr>
    </w:p>
    <w:p>
      <w:pPr>
        <w:spacing w:after="0"/>
        <w:tabs>
          <w:tab w:leader="none" w:pos="5580" w:val="left"/>
          <w:tab w:leader="none" w:pos="10180" w:val="left"/>
        </w:tabs>
        <w:rPr>
          <w:sz w:val="20"/>
          <w:szCs w:val="20"/>
          <w:color w:val="auto"/>
        </w:rPr>
      </w:pPr>
      <w:r>
        <w:rPr>
          <w:rFonts w:ascii="Times New Roman" w:cs="Times New Roman" w:eastAsia="Times New Roman" w:hAnsi="Times New Roman"/>
          <w:sz w:val="14"/>
          <w:szCs w:val="14"/>
          <w:color w:val="auto"/>
        </w:rPr>
        <w:t>CAYMAN | BVI | HONG KONG</w:t>
      </w:r>
      <w:r>
        <w:rPr>
          <w:sz w:val="20"/>
          <w:szCs w:val="20"/>
          <w:color w:val="auto"/>
        </w:rPr>
        <w:tab/>
      </w: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3"/>
          <w:szCs w:val="13"/>
          <w:color w:val="auto"/>
        </w:rPr>
        <w:t>campbellslegal.com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56" w:name="page57"/>
    <w:bookmarkEnd w:id="56"/>
    <w:p>
      <w:pPr>
        <w:ind w:left="500" w:hanging="498"/>
        <w:spacing w:after="0"/>
        <w:tabs>
          <w:tab w:leader="none" w:pos="50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349250</wp:posOffset>
            </wp:positionV>
            <wp:extent cx="1497965" cy="149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97965" cy="149860"/>
                    </a:xfrm>
                    <a:prstGeom prst="rect">
                      <a:avLst/>
                    </a:prstGeom>
                    <a:noFill/>
                  </pic:spPr>
                </pic:pic>
              </a:graphicData>
            </a:graphic>
          </wp:anchor>
        </w:drawing>
        <w:t>Opinion</w:t>
      </w:r>
    </w:p>
    <w:p>
      <w:pPr>
        <w:spacing w:after="0" w:line="171"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upon the foregoing and subject to the qualifications set out below and having regard to such legal considerations as we deem relevant, we are of the opinion that:</w:t>
      </w:r>
    </w:p>
    <w:p>
      <w:pPr>
        <w:spacing w:after="0" w:line="16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3"/>
          <w:szCs w:val="13"/>
          <w:color w:val="auto"/>
        </w:rPr>
        <w:t>The Company has been duly incorporated as an exempted company with limited liability and is validly existing and in good standing under the laws of the Cayman Islands.</w:t>
      </w:r>
    </w:p>
    <w:p>
      <w:pPr>
        <w:spacing w:after="0" w:line="167" w:lineRule="exact"/>
        <w:rPr>
          <w:sz w:val="20"/>
          <w:szCs w:val="20"/>
          <w:color w:val="auto"/>
        </w:rPr>
      </w:pPr>
    </w:p>
    <w:p>
      <w:pPr>
        <w:jc w:val="both"/>
        <w:ind w:left="500" w:hanging="491"/>
        <w:spacing w:after="0" w:line="266" w:lineRule="auto"/>
        <w:tabs>
          <w:tab w:leader="none" w:pos="4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The authorised share capital of the Company is US$500,000 consisting of 467,290,000 Class A Ordinary Shares of a par value of US$0.001 each and 32,710,000 Class B Ordinary Shares of a par value of US$0.001 each.</w:t>
      </w:r>
    </w:p>
    <w:p>
      <w:pPr>
        <w:spacing w:after="0" w:line="136" w:lineRule="exact"/>
        <w:rPr>
          <w:sz w:val="20"/>
          <w:szCs w:val="20"/>
          <w:color w:val="auto"/>
        </w:rPr>
      </w:pPr>
    </w:p>
    <w:p>
      <w:pPr>
        <w:jc w:val="both"/>
        <w:ind w:left="500" w:hanging="491"/>
        <w:spacing w:after="0" w:line="284" w:lineRule="auto"/>
        <w:tabs>
          <w:tab w:leader="none" w:pos="48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3"/>
          <w:szCs w:val="13"/>
          <w:color w:val="auto"/>
        </w:rPr>
        <w:t>Upon the Class A Shares to be offered and issued by the Company as contemplated by the Registration Statement (including the issuance of Class A Shares upon the exercise of any exchange or convertible rights (if any) in accordance with the Debt Securities Documents, the issuance of the Class A Shares upon the exercise of the Warrants in accordance with the Warrants Documents and the issuance of the Class A Shares upon the exercise of the Rights in accordance with the Rights Documents) having been duly authorised by the Company and, when issued by the Company upon:</w:t>
      </w:r>
    </w:p>
    <w:p>
      <w:pPr>
        <w:spacing w:after="0" w:line="126" w:lineRule="exact"/>
        <w:rPr>
          <w:sz w:val="20"/>
          <w:szCs w:val="20"/>
          <w:color w:val="auto"/>
        </w:rPr>
      </w:pPr>
    </w:p>
    <w:p>
      <w:pPr>
        <w:jc w:val="both"/>
        <w:ind w:left="980" w:hanging="486"/>
        <w:spacing w:after="0" w:line="249" w:lineRule="auto"/>
        <w:tabs>
          <w:tab w:leader="none" w:pos="9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(A) the provisions of the memorandum and articles of association of the Company then in effect and the applicable definitive purchase, underwriting or similar agreement approved by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have been satisfied and payment of the consideration specified therein (being not less than the par value of the Class A Ordinary Shares) has been made, or (B) if such Class A Ordinary Shares are issuable upon conversion, exchange, redemption, repurchase or exercise of any other security, the terms of such security, the memorandum and articles of association of the Company then in effect or the instrument governing such security providing for such conversion, exchange, redemption, repurchase or exercise for Class A Ordinary Shares, as approved by the Board, have been satisfied and the consideration approved by the Board (being not less than the par value of the Class A Ordinary Shares) received; and</w:t>
      </w:r>
    </w:p>
    <w:p>
      <w:pPr>
        <w:spacing w:after="0" w:line="146" w:lineRule="exact"/>
        <w:rPr>
          <w:rFonts w:ascii="Times New Roman" w:cs="Times New Roman" w:eastAsia="Times New Roman" w:hAnsi="Times New Roman"/>
          <w:sz w:val="14"/>
          <w:szCs w:val="14"/>
          <w:color w:val="auto"/>
        </w:rPr>
      </w:pPr>
    </w:p>
    <w:p>
      <w:pPr>
        <w:ind w:left="980" w:hanging="486"/>
        <w:spacing w:after="0" w:line="266" w:lineRule="auto"/>
        <w:tabs>
          <w:tab w:leader="none" w:pos="9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 entry has been made in the register of members of the Company reflecting such issuance of Class A Ordinary Shares, in each case in accordance with the memorandum and articles of association of the Company then in effect,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shall be validly issued, fully paid and non-assessable.</w:t>
      </w:r>
    </w:p>
    <w:p>
      <w:pPr>
        <w:spacing w:after="0" w:line="167" w:lineRule="exact"/>
        <w:rPr>
          <w:sz w:val="20"/>
          <w:szCs w:val="20"/>
          <w:color w:val="auto"/>
        </w:rPr>
      </w:pPr>
    </w:p>
    <w:p>
      <w:pPr>
        <w:spacing w:after="0"/>
        <w:tabs>
          <w:tab w:leader="none" w:pos="5580" w:val="left"/>
          <w:tab w:leader="none" w:pos="10180" w:val="left"/>
        </w:tabs>
        <w:rPr>
          <w:sz w:val="20"/>
          <w:szCs w:val="20"/>
          <w:color w:val="auto"/>
        </w:rPr>
      </w:pPr>
      <w:r>
        <w:rPr>
          <w:rFonts w:ascii="Times New Roman" w:cs="Times New Roman" w:eastAsia="Times New Roman" w:hAnsi="Times New Roman"/>
          <w:sz w:val="14"/>
          <w:szCs w:val="14"/>
          <w:color w:val="auto"/>
        </w:rPr>
        <w:t>CAYMAN | BVI | HONG KONG</w:t>
      </w:r>
      <w:r>
        <w:rPr>
          <w:sz w:val="20"/>
          <w:szCs w:val="20"/>
          <w:color w:val="auto"/>
        </w:rPr>
        <w:tab/>
      </w: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3"/>
          <w:szCs w:val="13"/>
          <w:color w:val="auto"/>
        </w:rPr>
        <w:t>campbellslegal.com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933" w:right="319" w:bottom="1440" w:gutter="0" w:footer="0" w:header="0"/>
        </w:sectPr>
      </w:pPr>
    </w:p>
    <w:bookmarkStart w:id="57" w:name="page58"/>
    <w:bookmarkEnd w:id="57"/>
    <w:p>
      <w:pPr>
        <w:jc w:val="both"/>
        <w:ind w:left="500" w:hanging="491"/>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191770</wp:posOffset>
            </wp:positionH>
            <wp:positionV relativeFrom="page">
              <wp:posOffset>349250</wp:posOffset>
            </wp:positionV>
            <wp:extent cx="1497965" cy="149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497965" cy="149860"/>
                    </a:xfrm>
                    <a:prstGeom prst="rect">
                      <a:avLst/>
                    </a:prstGeom>
                    <a:noFill/>
                  </pic:spPr>
                </pic:pic>
              </a:graphicData>
            </a:graphic>
          </wp:anchor>
        </w:drawing>
        <w:t>3.4</w:t>
      </w:r>
      <w:r>
        <w:rPr>
          <w:sz w:val="20"/>
          <w:szCs w:val="20"/>
          <w:color w:val="auto"/>
        </w:rPr>
        <w:tab/>
      </w:r>
      <w:r>
        <w:rPr>
          <w:rFonts w:ascii="Times New Roman" w:cs="Times New Roman" w:eastAsia="Times New Roman" w:hAnsi="Times New Roman"/>
          <w:sz w:val="14"/>
          <w:szCs w:val="14"/>
          <w:color w:val="auto"/>
        </w:rPr>
        <w:t>The execution, delivery and performance of the Documents has been authorised by and on behalf of the Company and, once the Documents have been executed and delivered by any director or officer of the Company, the Documents will be duly executed and delivered on behalf of the Company and will constitute the legal, valid and binding obligations of the Company enforceable in accordance with their terms.</w:t>
      </w:r>
    </w:p>
    <w:p>
      <w:pPr>
        <w:spacing w:after="0" w:line="143" w:lineRule="exact"/>
        <w:rPr>
          <w:sz w:val="20"/>
          <w:szCs w:val="20"/>
          <w:color w:val="auto"/>
        </w:rPr>
      </w:pPr>
    </w:p>
    <w:p>
      <w:pPr>
        <w:jc w:val="both"/>
        <w:ind w:left="500" w:hanging="491"/>
        <w:spacing w:after="0" w:line="266" w:lineRule="auto"/>
        <w:tabs>
          <w:tab w:leader="none" w:pos="480" w:val="left"/>
        </w:tabs>
        <w:rPr>
          <w:sz w:val="20"/>
          <w:szCs w:val="20"/>
          <w:color w:val="auto"/>
        </w:rPr>
      </w:pP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4"/>
          <w:szCs w:val="14"/>
          <w:color w:val="auto"/>
        </w:rPr>
        <w:t>The statements under the caption “Cayman Islands Taxation” in the prospectus forming part of the Registration Statement, to the extent that they constitute statements of Cayman Islands law, are accurate in all material respects and that such statements constitute our opinion.</w:t>
      </w:r>
    </w:p>
    <w:p>
      <w:pPr>
        <w:spacing w:after="0" w:line="132" w:lineRule="exact"/>
        <w:rPr>
          <w:sz w:val="20"/>
          <w:szCs w:val="20"/>
          <w:color w:val="auto"/>
        </w:rPr>
      </w:pPr>
    </w:p>
    <w:p>
      <w:pPr>
        <w:ind w:left="500" w:hanging="498"/>
        <w:spacing w:after="0"/>
        <w:tabs>
          <w:tab w:leader="none" w:pos="50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Qualifications</w:t>
      </w:r>
    </w:p>
    <w:p>
      <w:pPr>
        <w:spacing w:after="0" w:line="171" w:lineRule="exact"/>
        <w:rPr>
          <w:sz w:val="20"/>
          <w:szCs w:val="20"/>
          <w:color w:val="auto"/>
        </w:rPr>
      </w:pPr>
    </w:p>
    <w:p>
      <w:pPr>
        <w:jc w:val="both"/>
        <w:ind w:left="500" w:hanging="491"/>
        <w:spacing w:after="0" w:line="255" w:lineRule="auto"/>
        <w:tabs>
          <w:tab w:leader="none" w:pos="48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In this opinion the phrase “non-assessable” means, with respect to the Shares,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43" w:lineRule="exact"/>
        <w:rPr>
          <w:sz w:val="20"/>
          <w:szCs w:val="20"/>
          <w:color w:val="auto"/>
        </w:rPr>
      </w:pPr>
    </w:p>
    <w:p>
      <w:pPr>
        <w:jc w:val="both"/>
        <w:ind w:left="500" w:hanging="491"/>
        <w:spacing w:after="0" w:line="266" w:lineRule="auto"/>
        <w:tabs>
          <w:tab w:leader="none" w:pos="48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heading “Legal Matters” and elsewhere in the prospectus included in the Registration Statement. In giving such consent, we do not thereby admit that we come within the category of persons whose consent is required under Section 7 of the Act or the Rules and Regulations of the Commission thereunder.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Campbells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Campbells LLP</w:t>
      </w:r>
    </w:p>
    <w:p>
      <w:pPr>
        <w:spacing w:after="0" w:line="171" w:lineRule="exact"/>
        <w:rPr>
          <w:sz w:val="20"/>
          <w:szCs w:val="20"/>
          <w:color w:val="auto"/>
        </w:rPr>
      </w:pPr>
    </w:p>
    <w:p>
      <w:pPr>
        <w:spacing w:after="0"/>
        <w:tabs>
          <w:tab w:leader="none" w:pos="5580" w:val="left"/>
          <w:tab w:leader="none" w:pos="10180" w:val="left"/>
        </w:tabs>
        <w:rPr>
          <w:sz w:val="20"/>
          <w:szCs w:val="20"/>
          <w:color w:val="auto"/>
        </w:rPr>
      </w:pPr>
      <w:r>
        <w:rPr>
          <w:rFonts w:ascii="Times New Roman" w:cs="Times New Roman" w:eastAsia="Times New Roman" w:hAnsi="Times New Roman"/>
          <w:sz w:val="14"/>
          <w:szCs w:val="14"/>
          <w:color w:val="auto"/>
        </w:rPr>
        <w:t>CAYMAN | BVI | HONG KONG</w:t>
      </w:r>
      <w:r>
        <w:rPr>
          <w:sz w:val="20"/>
          <w:szCs w:val="20"/>
          <w:color w:val="auto"/>
        </w:rPr>
        <w:tab/>
      </w: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13"/>
          <w:szCs w:val="13"/>
          <w:color w:val="auto"/>
        </w:rPr>
        <w:t>campbellslegal.com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937"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116840</wp:posOffset>
            </wp:positionV>
            <wp:extent cx="1915160" cy="847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915160" cy="84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-90805</wp:posOffset>
            </wp:positionV>
            <wp:extent cx="885825" cy="1817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885825" cy="1817370"/>
                    </a:xfrm>
                    <a:prstGeom prst="rect">
                      <a:avLst/>
                    </a:prstGeom>
                    <a:noFill/>
                  </pic:spPr>
                </pic:pic>
              </a:graphicData>
            </a:graphic>
          </wp:anchor>
        </w:drawing>
      </w:r>
    </w:p>
    <w:p>
      <w:pPr>
        <w:spacing w:after="0" w:line="151" w:lineRule="exact"/>
        <w:rPr>
          <w:sz w:val="20"/>
          <w:szCs w:val="20"/>
          <w:color w:val="auto"/>
        </w:rPr>
      </w:pPr>
    </w:p>
    <w:p>
      <w:pPr>
        <w:jc w:val="both"/>
        <w:ind w:left="1340"/>
        <w:spacing w:after="0" w:line="249"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 on Form F-3 (the “Registration Statement”) of Leishen Energy Holding Co., Ltd. (the “Registrant”) of our report dated January 30, 2026, relating to the consolidated financial statements of Leishen Energy Holding Co., Ltd. and subsidiaries (the “Company”) as of September 30, 2025 and 2024, and for each of the three years in the period ended September 30, 2025, appearing in the Annual Report on Form 20-F of the Registrant for the year ended September 30, 2025, filed with the U.S. Securities and Exchange Commission (the “SEC”) on January 30, 2026, as amended on Form 20-F/A, filed with the SEC on April 29, 2026. We also consent to the reference to us under the heading “Experts” in such Registration Statement.</w:t>
      </w:r>
    </w:p>
    <w:p>
      <w:pPr>
        <w:spacing w:after="0" w:line="31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 Wei, Wei &amp; Co., LLP</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Flushing, New York</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569595</wp:posOffset>
            </wp:positionV>
            <wp:extent cx="716534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40"/>
          </w:cols>
          <w:pgMar w:left="1440" w:top="287" w:right="3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116840</wp:posOffset>
            </wp:positionV>
            <wp:extent cx="1823720" cy="429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823720" cy="429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34/F, Tower 3, China Central Place, 77 Jianguo Road, Beijing 100025, China</w:t>
      </w:r>
    </w:p>
    <w:p>
      <w:pPr>
        <w:spacing w:after="0" w:line="167"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4"/>
          <w:szCs w:val="14"/>
          <w:color w:val="auto"/>
        </w:rPr>
        <w:t>T: (86-10) 5809 1000</w:t>
      </w:r>
      <w:r>
        <w:rPr>
          <w:sz w:val="20"/>
          <w:szCs w:val="20"/>
          <w:color w:val="auto"/>
        </w:rPr>
        <w:tab/>
      </w:r>
      <w:r>
        <w:rPr>
          <w:rFonts w:ascii="Times New Roman" w:cs="Times New Roman" w:eastAsia="Times New Roman" w:hAnsi="Times New Roman"/>
          <w:sz w:val="13"/>
          <w:szCs w:val="13"/>
          <w:color w:val="auto"/>
        </w:rPr>
        <w:t>F: (86-10) 5809 1100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Jingtian &amp; Gongcheng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34/F, Tower 3, China Central Place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77 Jianguo Road, Beijing 100025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People’s Republic of China</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June 8,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Re: Consent Letter on Leishen Energy Holding Co., Ltd. – Form F-3</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We consent to the references to our firm under the mentions of “PRC Counsel” in connection with the Registration Statement on Form F-3 of Leishen Energy Holding Co., Ltd.(the “Company”) to be filed by the Company with the Securities and Exchange Commission (the “SEC”) on June 8, 2026 under the U.S. Securities Act of 1933 (as amended).</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This Consent is rendered solely to you for the filing on Form F-3 and may not be used for any other purpose. In giving such consent, we do not thereby admit that we come within the category of persons whose consent is required under Section 7 of the United States Securities Act of 1933, as amended, or the rules and regulations of the SEC thereunder.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Beijing ● Shanghai ● Shenzhen ● Chengdu ● Tianjin ● Nanjing ● Hangzhou ● Guangzhou ● Sanya ●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224790</wp:posOffset>
            </wp:positionV>
            <wp:extent cx="716534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0" w:name="page61"/>
    <w:bookmarkEnd w:id="60"/>
    <w:p>
      <w:pPr>
        <w:jc w:val="center"/>
        <w:ind w:right="-1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2862580</wp:posOffset>
            </wp:positionH>
            <wp:positionV relativeFrom="page">
              <wp:posOffset>362585</wp:posOffset>
            </wp:positionV>
            <wp:extent cx="1823720" cy="455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823720" cy="455930"/>
                    </a:xfrm>
                    <a:prstGeom prst="rect">
                      <a:avLst/>
                    </a:prstGeom>
                    <a:noFill/>
                  </pic:spPr>
                </pic:pic>
              </a:graphicData>
            </a:graphic>
          </wp:anchor>
        </w:drawing>
        <w:t>34/F, Tower 3, China Central Place, 77 Jianguo Road, Beijing 100025, China</w:t>
      </w:r>
    </w:p>
    <w:p>
      <w:pPr>
        <w:spacing w:after="0" w:line="167" w:lineRule="exact"/>
        <w:rPr>
          <w:sz w:val="20"/>
          <w:szCs w:val="20"/>
          <w:color w:val="auto"/>
        </w:rPr>
      </w:pPr>
    </w:p>
    <w:p>
      <w:pPr>
        <w:ind w:left="4360"/>
        <w:spacing w:after="0"/>
        <w:tabs>
          <w:tab w:leader="none" w:pos="5740" w:val="left"/>
        </w:tabs>
        <w:rPr>
          <w:sz w:val="20"/>
          <w:szCs w:val="20"/>
          <w:color w:val="auto"/>
        </w:rPr>
      </w:pPr>
      <w:r>
        <w:rPr>
          <w:rFonts w:ascii="Times New Roman" w:cs="Times New Roman" w:eastAsia="Times New Roman" w:hAnsi="Times New Roman"/>
          <w:sz w:val="14"/>
          <w:szCs w:val="14"/>
          <w:color w:val="auto"/>
        </w:rPr>
        <w:t>T: (86-10) 5809 1000</w:t>
      </w:r>
      <w:r>
        <w:rPr>
          <w:sz w:val="20"/>
          <w:szCs w:val="20"/>
          <w:color w:val="auto"/>
        </w:rPr>
        <w:tab/>
      </w:r>
      <w:r>
        <w:rPr>
          <w:rFonts w:ascii="Times New Roman" w:cs="Times New Roman" w:eastAsia="Times New Roman" w:hAnsi="Times New Roman"/>
          <w:sz w:val="13"/>
          <w:szCs w:val="13"/>
          <w:color w:val="auto"/>
        </w:rPr>
        <w:t>F: (86-10) 5809 1100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Sincerely,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Jingtian &amp; Gongcheng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358267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582670" cy="6350"/>
                    </a:xfrm>
                    <a:prstGeom prst="rect">
                      <a:avLst/>
                    </a:prstGeom>
                    <a:noFill/>
                  </pic:spPr>
                </pic:pic>
              </a:graphicData>
            </a:graphic>
          </wp:anchor>
        </w:drawing>
      </w:r>
    </w:p>
    <w:p>
      <w:pPr>
        <w:spacing w:after="0" w:line="146"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4"/>
          <w:szCs w:val="14"/>
          <w:color w:val="auto"/>
        </w:rPr>
        <w:t>Beijing ● Shanghai ● Shenzhen ● Chengdu ● Tianjin ● Nanjing ● Hangzhou ● Guangzhou ● Sanya ●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224790</wp:posOffset>
            </wp:positionV>
            <wp:extent cx="716534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61" w:name="page62"/>
    <w:bookmarkEnd w:id="61"/>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80"/>
        <w:spacing w:after="0"/>
        <w:rPr>
          <w:sz w:val="20"/>
          <w:szCs w:val="20"/>
          <w:color w:val="auto"/>
        </w:rPr>
      </w:pPr>
      <w:r>
        <w:rPr>
          <w:rFonts w:ascii="Arial" w:cs="Arial" w:eastAsia="Arial" w:hAnsi="Arial"/>
          <w:sz w:val="27"/>
          <w:szCs w:val="27"/>
          <w:b w:val="1"/>
          <w:bCs w:val="1"/>
          <w:color w:val="auto"/>
        </w:rPr>
        <w:t>F-3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Leishen Energy Holding Co., Ltd.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1840" w:type="dxa"/>
            <w:vAlign w:val="bottom"/>
          </w:tcPr>
          <w:p>
            <w:pPr>
              <w:jc w:val="center"/>
              <w:ind w:left="898"/>
              <w:spacing w:after="0"/>
              <w:rPr>
                <w:sz w:val="20"/>
                <w:szCs w:val="20"/>
                <w:color w:val="auto"/>
              </w:rPr>
            </w:pPr>
            <w:r>
              <w:rPr>
                <w:rFonts w:ascii="Arial" w:cs="Arial" w:eastAsia="Arial" w:hAnsi="Arial"/>
                <w:sz w:val="16"/>
                <w:szCs w:val="16"/>
                <w:b w:val="1"/>
                <w:bCs w:val="1"/>
                <w:color w:val="auto"/>
              </w:rPr>
              <w:t>Security</w:t>
            </w: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820" w:type="dxa"/>
            <w:vAlign w:val="bottom"/>
          </w:tcPr>
          <w:p>
            <w:pPr>
              <w:jc w:val="center"/>
              <w:ind w:left="718"/>
              <w:spacing w:after="0"/>
              <w:rPr>
                <w:sz w:val="20"/>
                <w:szCs w:val="20"/>
                <w:color w:val="auto"/>
              </w:rPr>
            </w:pPr>
            <w:r>
              <w:rPr>
                <w:rFonts w:ascii="Arial" w:cs="Arial" w:eastAsia="Arial" w:hAnsi="Arial"/>
                <w:sz w:val="16"/>
                <w:szCs w:val="16"/>
                <w:b w:val="1"/>
                <w:bCs w:val="1"/>
                <w:color w:val="auto"/>
              </w:rPr>
              <w:t>Amount of</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5"/>
        </w:trPr>
        <w:tc>
          <w:tcPr>
            <w:tcW w:w="1840" w:type="dxa"/>
            <w:vAlign w:val="bottom"/>
          </w:tcPr>
          <w:p>
            <w:pPr>
              <w:jc w:val="center"/>
              <w:ind w:left="898"/>
              <w:spacing w:after="0"/>
              <w:rPr>
                <w:sz w:val="20"/>
                <w:szCs w:val="20"/>
                <w:color w:val="auto"/>
              </w:rPr>
            </w:pPr>
            <w:r>
              <w:rPr>
                <w:rFonts w:ascii="Arial" w:cs="Arial" w:eastAsia="Arial" w:hAnsi="Arial"/>
                <w:sz w:val="16"/>
                <w:szCs w:val="16"/>
                <w:b w:val="1"/>
                <w:bCs w:val="1"/>
                <w:color w:val="auto"/>
              </w:rPr>
              <w:t>Type</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or Carry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820" w:type="dxa"/>
            <w:vAlign w:val="bottom"/>
          </w:tcPr>
          <w:p>
            <w:pPr>
              <w:ind w:left="60"/>
              <w:spacing w:after="0"/>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Form</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820" w:type="dxa"/>
            <w:vAlign w:val="bottom"/>
          </w:tcPr>
          <w:p>
            <w:pPr>
              <w:jc w:val="center"/>
              <w:ind w:left="73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-845820</wp:posOffset>
            </wp:positionV>
            <wp:extent cx="7215505" cy="4761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15505" cy="476123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Class A</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Ordinary</w:t>
      </w:r>
    </w:p>
    <w:p>
      <w:pPr>
        <w:ind w:left="1180"/>
        <w:spacing w:after="0" w:line="189" w:lineRule="auto"/>
        <w:tabs>
          <w:tab w:leader="none" w:pos="1860" w:val="left"/>
          <w:tab w:leader="none" w:pos="284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1"/>
          <w:szCs w:val="21"/>
          <w:color w:val="auto"/>
          <w:vertAlign w:val="superscript"/>
        </w:rPr>
        <w:t>Shares,</w:t>
      </w:r>
      <w:r>
        <w:rPr>
          <w:sz w:val="20"/>
          <w:szCs w:val="20"/>
          <w:color w:val="auto"/>
        </w:rPr>
        <w:tab/>
      </w:r>
      <w:r>
        <w:rPr>
          <w:rFonts w:ascii="Arial" w:cs="Arial" w:eastAsia="Arial" w:hAnsi="Arial"/>
          <w:sz w:val="12"/>
          <w:szCs w:val="12"/>
          <w:color w:val="auto"/>
        </w:rPr>
        <w:t>457(o)</w:t>
      </w:r>
    </w:p>
    <w:p>
      <w:pPr>
        <w:ind w:left="1880"/>
        <w:spacing w:after="0"/>
        <w:rPr>
          <w:sz w:val="20"/>
          <w:szCs w:val="20"/>
          <w:color w:val="auto"/>
        </w:rPr>
      </w:pPr>
      <w:r>
        <w:rPr>
          <w:rFonts w:ascii="Arial" w:cs="Arial" w:eastAsia="Arial" w:hAnsi="Arial"/>
          <w:sz w:val="16"/>
          <w:szCs w:val="16"/>
          <w:color w:val="auto"/>
        </w:rPr>
        <w:t>$0.001</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p>
      <w:pPr>
        <w:ind w:left="1180"/>
        <w:spacing w:after="0"/>
        <w:tabs>
          <w:tab w:leader="none" w:pos="1860" w:val="left"/>
          <w:tab w:leader="none" w:pos="2840" w:val="left"/>
        </w:tabs>
        <w:rPr>
          <w:sz w:val="20"/>
          <w:szCs w:val="20"/>
          <w:color w:val="auto"/>
        </w:rPr>
      </w:pPr>
      <w:r>
        <w:rPr>
          <w:rFonts w:ascii="Arial" w:cs="Arial" w:eastAsia="Arial" w:hAnsi="Arial"/>
          <w:sz w:val="16"/>
          <w:szCs w:val="16"/>
          <w:color w:val="auto"/>
        </w:rPr>
        <w:t>Other</w:t>
      </w:r>
      <w:r>
        <w:rPr>
          <w:sz w:val="20"/>
          <w:szCs w:val="20"/>
          <w:color w:val="auto"/>
        </w:rPr>
        <w:tab/>
      </w:r>
      <w:r>
        <w:rPr>
          <w:rFonts w:ascii="Arial" w:cs="Arial" w:eastAsia="Arial" w:hAnsi="Arial"/>
          <w:sz w:val="16"/>
          <w:szCs w:val="16"/>
          <w:color w:val="auto"/>
        </w:rPr>
        <w:t>Warrants</w:t>
      </w:r>
      <w:r>
        <w:rPr>
          <w:sz w:val="20"/>
          <w:szCs w:val="20"/>
          <w:color w:val="auto"/>
        </w:rPr>
        <w:tab/>
      </w:r>
      <w:r>
        <w:rPr>
          <w:rFonts w:ascii="Arial" w:cs="Arial" w:eastAsia="Arial" w:hAnsi="Arial"/>
          <w:sz w:val="16"/>
          <w:szCs w:val="16"/>
          <w:color w:val="auto"/>
        </w:rPr>
        <w:t>457(o)</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6"/>
                <w:szCs w:val="16"/>
                <w:color w:val="auto"/>
              </w:rPr>
              <w:t>Rights</w:t>
            </w: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52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Debt</w:t>
            </w: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4"/>
                <w:szCs w:val="14"/>
                <w:color w:val="auto"/>
              </w:rPr>
            </w:pPr>
          </w:p>
        </w:tc>
        <w:tc>
          <w:tcPr>
            <w:tcW w:w="900" w:type="dxa"/>
            <w:vAlign w:val="bottom"/>
            <w:shd w:val="clear" w:color="auto" w:fill="E7E7E2"/>
          </w:tcPr>
          <w:p>
            <w:pPr>
              <w:ind w:left="20"/>
              <w:spacing w:after="0" w:line="165"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ind w:left="220"/>
              <w:spacing w:after="0" w:line="165" w:lineRule="exact"/>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$ 20,715.00</w:t>
            </w:r>
          </w:p>
        </w:tc>
        <w:tc>
          <w:tcPr>
            <w:tcW w:w="0" w:type="dxa"/>
            <w:vAlign w:val="bottom"/>
          </w:tcPr>
          <w:p>
            <w:pPr>
              <w:spacing w:after="0"/>
              <w:rPr>
                <w:sz w:val="1"/>
                <w:szCs w:val="1"/>
                <w:color w:val="auto"/>
              </w:rPr>
            </w:pPr>
          </w:p>
        </w:tc>
      </w:tr>
      <w:tr>
        <w:trPr>
          <w:trHeight w:val="216"/>
        </w:trPr>
        <w:tc>
          <w:tcPr>
            <w:tcW w:w="780" w:type="dxa"/>
            <w:vAlign w:val="bottom"/>
            <w:tcBorders>
              <w:bottom w:val="single" w:sz="8" w:color="E7E7E2"/>
            </w:tcBorders>
            <w:shd w:val="clear" w:color="auto" w:fill="E7E7E2"/>
          </w:tcPr>
          <w:p>
            <w:pPr>
              <w:spacing w:after="0"/>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8"/>
                <w:szCs w:val="18"/>
                <w:color w:val="auto"/>
              </w:rPr>
            </w:pPr>
          </w:p>
        </w:tc>
        <w:tc>
          <w:tcPr>
            <w:tcW w:w="1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E7E7E2"/>
            </w:tcBorders>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8"/>
                <w:szCs w:val="18"/>
                <w:color w:val="auto"/>
              </w:rPr>
            </w:pPr>
          </w:p>
        </w:tc>
        <w:tc>
          <w:tcPr>
            <w:tcW w:w="520" w:type="dxa"/>
            <w:vAlign w:val="bottom"/>
            <w:tcBorders>
              <w:bottom w:val="single" w:sz="8" w:color="E7E7E2"/>
            </w:tcBorders>
            <w:shd w:val="clear" w:color="auto" w:fill="E7E7E2"/>
          </w:tcPr>
          <w:p>
            <w:pPr>
              <w:spacing w:after="0"/>
              <w:rPr>
                <w:sz w:val="18"/>
                <w:szCs w:val="18"/>
                <w:color w:val="auto"/>
              </w:rPr>
            </w:pPr>
          </w:p>
        </w:tc>
        <w:tc>
          <w:tcPr>
            <w:tcW w:w="2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bottom w:val="single" w:sz="8" w:color="E7E7E2"/>
            </w:tcBorders>
            <w:shd w:val="clear" w:color="auto" w:fill="E7E7E2"/>
          </w:tcPr>
          <w:p>
            <w:pPr>
              <w:jc w:val="right"/>
              <w:spacing w:after="0"/>
              <w:rPr>
                <w:sz w:val="20"/>
                <w:szCs w:val="20"/>
                <w:color w:val="auto"/>
              </w:rPr>
            </w:pPr>
            <w:r>
              <w:rPr>
                <w:rFonts w:ascii="Arial" w:cs="Arial" w:eastAsia="Arial" w:hAnsi="Arial"/>
                <w:sz w:val="16"/>
                <w:szCs w:val="16"/>
                <w:color w:val="auto"/>
              </w:rPr>
              <w:t>150,000,000.00</w:t>
            </w:r>
          </w:p>
        </w:tc>
        <w:tc>
          <w:tcPr>
            <w:tcW w:w="20" w:type="dxa"/>
            <w:vAlign w:val="bottom"/>
          </w:tcPr>
          <w:p>
            <w:pPr>
              <w:spacing w:after="0"/>
              <w:rPr>
                <w:sz w:val="18"/>
                <w:szCs w:val="18"/>
                <w:color w:val="auto"/>
              </w:rPr>
            </w:pPr>
          </w:p>
        </w:tc>
        <w:tc>
          <w:tcPr>
            <w:tcW w:w="800" w:type="dxa"/>
            <w:vAlign w:val="bottom"/>
            <w:tcBorders>
              <w:bottom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E7E7E2"/>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$ 20,715.00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150,000,000.00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6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$ 20,715.00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600" w:firstLine="7"/>
        <w:spacing w:after="0" w:line="283"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proposed maximum aggregate offering price has been estimated solely for the purpose of calculating the registration fee pursuant to Rule 457(o) under the Securities Act.</w:t>
      </w:r>
    </w:p>
    <w:p>
      <w:pPr>
        <w:spacing w:after="0" w:line="120" w:lineRule="exact"/>
        <w:rPr>
          <w:rFonts w:ascii="Arial" w:cs="Arial" w:eastAsia="Arial" w:hAnsi="Arial"/>
          <w:sz w:val="16"/>
          <w:szCs w:val="16"/>
          <w:color w:val="auto"/>
        </w:rPr>
      </w:pPr>
    </w:p>
    <w:p>
      <w:pPr>
        <w:ind w:left="200" w:right="600" w:firstLine="7"/>
        <w:spacing w:after="0" w:line="283"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proposed maximum aggregate offering price has been estimated solely for the purpose of calculating the registration fee pursuant to Rule 457(o) under the Securities Act.</w:t>
      </w:r>
    </w:p>
    <w:p>
      <w:pPr>
        <w:spacing w:after="0" w:line="120" w:lineRule="exact"/>
        <w:rPr>
          <w:rFonts w:ascii="Arial" w:cs="Arial" w:eastAsia="Arial" w:hAnsi="Arial"/>
          <w:sz w:val="16"/>
          <w:szCs w:val="16"/>
          <w:color w:val="auto"/>
        </w:rPr>
      </w:pPr>
    </w:p>
    <w:p>
      <w:pPr>
        <w:ind w:left="200" w:right="600" w:firstLine="7"/>
        <w:spacing w:after="0" w:line="283"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proposed maximum aggregate offering price has been estimated solely for the purpose of calculating the registration fee pursuant to Rule 457(o) under the Securities Act.</w:t>
      </w:r>
    </w:p>
    <w:p>
      <w:pPr>
        <w:spacing w:after="0" w:line="120" w:lineRule="exact"/>
        <w:rPr>
          <w:rFonts w:ascii="Arial" w:cs="Arial" w:eastAsia="Arial" w:hAnsi="Arial"/>
          <w:sz w:val="16"/>
          <w:szCs w:val="16"/>
          <w:color w:val="auto"/>
        </w:rPr>
      </w:pPr>
    </w:p>
    <w:p>
      <w:pPr>
        <w:ind w:left="200" w:right="600" w:firstLine="7"/>
        <w:spacing w:after="0" w:line="283"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proposed maximum aggregate offering price has been estimated solely for the purpose of calculating the registration fee pursuant to Rule 457(o) under the Securities Act.</w:t>
      </w:r>
    </w:p>
    <w:p>
      <w:pPr>
        <w:spacing w:after="0" w:line="120" w:lineRule="exact"/>
        <w:rPr>
          <w:rFonts w:ascii="Arial" w:cs="Arial" w:eastAsia="Arial" w:hAnsi="Arial"/>
          <w:sz w:val="16"/>
          <w:szCs w:val="16"/>
          <w:color w:val="auto"/>
        </w:rPr>
      </w:pPr>
    </w:p>
    <w:p>
      <w:pPr>
        <w:ind w:left="200" w:right="600" w:firstLine="7"/>
        <w:spacing w:after="0" w:line="283"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proposed maximum aggregate offering price has been estimated solely for the purpose of calculating the registration fee pursuant to Rule 457(o) under the Securities Act.</w:t>
      </w:r>
    </w:p>
    <w:p>
      <w:pPr>
        <w:spacing w:after="0" w:line="120" w:lineRule="exact"/>
        <w:rPr>
          <w:rFonts w:ascii="Arial" w:cs="Arial" w:eastAsia="Arial" w:hAnsi="Arial"/>
          <w:sz w:val="16"/>
          <w:szCs w:val="16"/>
          <w:color w:val="auto"/>
        </w:rPr>
      </w:pPr>
    </w:p>
    <w:p>
      <w:pPr>
        <w:ind w:left="200" w:right="140" w:firstLine="7"/>
        <w:spacing w:after="0" w:line="249" w:lineRule="auto"/>
        <w:tabs>
          <w:tab w:leader="none" w:pos="4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securities registered hereunder include such indeterminate number of securities for offer and sale from time to time at indeterminate prices, which shall have an aggregate initial offering price not to exceed $150,000,000.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47" w:lineRule="exact"/>
        <w:rPr>
          <w:sz w:val="20"/>
          <w:szCs w:val="20"/>
          <w:color w:val="auto"/>
        </w:rPr>
      </w:pPr>
    </w:p>
    <w:p>
      <w:pPr>
        <w:ind w:left="200" w:right="120"/>
        <w:spacing w:after="0" w:line="255" w:lineRule="auto"/>
        <w:rPr>
          <w:sz w:val="20"/>
          <w:szCs w:val="20"/>
          <w:color w:val="auto"/>
        </w:rPr>
      </w:pPr>
      <w:r>
        <w:rPr>
          <w:rFonts w:ascii="Arial" w:cs="Arial" w:eastAsia="Arial" w:hAnsi="Arial"/>
          <w:sz w:val="16"/>
          <w:szCs w:val="16"/>
          <w:color w:val="auto"/>
        </w:rPr>
        <w:t>The proposed maximum Offering Price Per Unit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F-3 under the Securities Act. Separate consideration may or may not be received for securities that are issuable on exercise, conversion or exchange of other securities, or that are issued in units.</w:t>
      </w:r>
    </w:p>
    <w:p>
      <w:pPr>
        <w:spacing w:after="0" w:line="141" w:lineRule="exact"/>
        <w:rPr>
          <w:sz w:val="20"/>
          <w:szCs w:val="20"/>
          <w:color w:val="auto"/>
        </w:rPr>
      </w:pPr>
    </w:p>
    <w:p>
      <w:pPr>
        <w:ind w:left="200" w:right="340"/>
        <w:spacing w:after="0" w:line="283" w:lineRule="auto"/>
        <w:rPr>
          <w:sz w:val="20"/>
          <w:szCs w:val="20"/>
          <w:color w:val="auto"/>
        </w:rPr>
      </w:pPr>
      <w:r>
        <w:rPr>
          <w:rFonts w:ascii="Arial" w:cs="Arial" w:eastAsia="Arial" w:hAnsi="Arial"/>
          <w:sz w:val="16"/>
          <w:szCs w:val="16"/>
          <w:color w:val="auto"/>
        </w:rPr>
        <w:t>The proposed maximum aggregate offering price has been estimated solely for the purpose of calculating the registration fee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154940</wp:posOffset>
            </wp:positionV>
            <wp:extent cx="715137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4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r>
      <w:tr>
        <w:trPr>
          <w:trHeight w:val="190"/>
        </w:trPr>
        <w:tc>
          <w:tcPr>
            <w:tcW w:w="40" w:type="dxa"/>
            <w:vAlign w:val="bottom"/>
            <w:tcBorders>
              <w:left w:val="single" w:sz="8" w:color="auto"/>
            </w:tcBorders>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620" w:type="dxa"/>
            <w:vAlign w:val="bottom"/>
            <w:shd w:val="clear" w:color="auto" w:fill="9ADAF6"/>
          </w:tcPr>
          <w:p>
            <w:pPr>
              <w:ind w:left="100"/>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9"/>
                <w:szCs w:val="19"/>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19"/>
                <w:szCs w:val="19"/>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620" w:type="dxa"/>
            <w:vAlign w:val="bottom"/>
            <w:shd w:val="clear" w:color="auto" w:fill="9ADAF6"/>
          </w:tcPr>
          <w:p>
            <w:pPr>
              <w:ind w:left="100"/>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19"/>
                <w:szCs w:val="19"/>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9"/>
                <w:szCs w:val="19"/>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9"/>
                <w:szCs w:val="19"/>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9"/>
                <w:szCs w:val="19"/>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10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r>
    </w:tbl>
    <w:p>
      <w:pPr>
        <w:sectPr>
          <w:pgSz w:w="11900" w:h="16900" w:orient="portrait"/>
          <w:cols w:equalWidth="0" w:num="1">
            <w:col w:w="11360"/>
          </w:cols>
          <w:pgMar w:left="300" w:top="141" w:right="239" w:bottom="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4086860</wp:posOffset>
            </wp:positionH>
            <wp:positionV relativeFrom="page">
              <wp:posOffset>88900</wp:posOffset>
            </wp:positionV>
            <wp:extent cx="423545" cy="768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423545" cy="76835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ind w:left="80"/>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40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7"/>
          </w:tcPr>
          <w:p>
            <w:pPr>
              <w:ind w:left="180"/>
              <w:spacing w:after="0"/>
              <w:rPr>
                <w:sz w:val="20"/>
                <w:szCs w:val="20"/>
                <w:color w:val="auto"/>
              </w:rPr>
            </w:pPr>
            <w:r>
              <w:rPr>
                <w:rFonts w:ascii="Arial" w:cs="Arial" w:eastAsia="Arial" w:hAnsi="Arial"/>
                <w:sz w:val="16"/>
                <w:szCs w:val="16"/>
                <w:b w:val="1"/>
                <w:bCs w:val="1"/>
                <w:color w:val="auto"/>
              </w:rPr>
              <w:t>Rules 457(b) and 0-</w:t>
            </w:r>
          </w:p>
        </w:tc>
        <w:tc>
          <w:tcPr>
            <w:tcW w:w="660" w:type="dxa"/>
            <w:vAlign w:val="bottom"/>
            <w:gridSpan w:val="3"/>
          </w:tcPr>
          <w:p>
            <w:pPr>
              <w:spacing w:after="0"/>
              <w:rPr>
                <w:sz w:val="20"/>
                <w:szCs w:val="20"/>
                <w:color w:val="auto"/>
              </w:rPr>
            </w:pPr>
            <w:r>
              <w:rPr>
                <w:rFonts w:ascii="Arial" w:cs="Arial" w:eastAsia="Arial" w:hAnsi="Arial"/>
                <w:sz w:val="16"/>
                <w:szCs w:val="16"/>
                <w:b w:val="1"/>
                <w:bCs w:val="1"/>
                <w:color w:val="auto"/>
              </w:rPr>
              <w:t>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40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238"/>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38"/>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760" w:type="dxa"/>
            <w:vAlign w:val="bottom"/>
            <w:gridSpan w:val="5"/>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760" w:type="dxa"/>
            <w:vAlign w:val="bottom"/>
            <w:gridSpan w:val="5"/>
            <w:vMerge w:val="continue"/>
            <w:shd w:val="clear" w:color="auto" w:fill="9ADAF6"/>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78"/>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vMerge w:val="restart"/>
            <w:shd w:val="clear" w:color="auto" w:fill="9ADAF6"/>
          </w:tcPr>
          <w:p>
            <w:pPr>
              <w:jc w:val="center"/>
              <w:ind w:right="138"/>
              <w:spacing w:after="0"/>
              <w:rPr>
                <w:sz w:val="20"/>
                <w:szCs w:val="20"/>
                <w:color w:val="auto"/>
              </w:rPr>
            </w:pPr>
            <w:r>
              <w:rPr>
                <w:rFonts w:ascii="Arial" w:cs="Arial" w:eastAsia="Arial" w:hAnsi="Arial"/>
                <w:sz w:val="16"/>
                <w:szCs w:val="16"/>
                <w:b w:val="1"/>
                <w:bCs w:val="1"/>
                <w:color w:val="auto"/>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40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38"/>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40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40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lowerLetter"/>
      <w:start w:val="1"/>
    </w:lvl>
    <w:lvl w:ilvl="1">
      <w:lvlJc w:val="left"/>
      <w:lvlText w:val="(%2)"/>
      <w:numFmt w:val="lowerRoman"/>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lowerLetter"/>
      <w:start w:val="1"/>
    </w:lvl>
  </w:abstractNum>
  <w:abstractNum w:abstractNumId="17">
    <w:nsid w:val="5C482A97"/>
    <w:multiLevelType w:val="hybridMultilevel"/>
    <w:lvl w:ilvl="0">
      <w:lvlJc w:val="left"/>
      <w:lvlText w:val="(%1)"/>
      <w:numFmt w:val="lowerLetter"/>
      <w:start w:val="1"/>
    </w:lvl>
  </w:abstractNum>
  <w:abstractNum w:abstractNumId="18">
    <w:nsid w:val="2463B9EA"/>
    <w:multiLevelType w:val="hybridMultilevel"/>
    <w:lvl w:ilvl="0">
      <w:lvlJc w:val="left"/>
      <w:lvlText w:val="(%1)"/>
      <w:numFmt w:val="lowerLetter"/>
      <w:start w:val="4"/>
    </w:lvl>
  </w:abstractNum>
  <w:abstractNum w:abstractNumId="19">
    <w:nsid w:val="5E884ADC"/>
    <w:multiLevelType w:val="hybridMultilevel"/>
    <w:lvl w:ilvl="0">
      <w:lvlJc w:val="left"/>
      <w:lvlText w:val="(%1)"/>
      <w:numFmt w:val="lowerLetter"/>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2"/>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1"/>
    </w:lvl>
  </w:abstractNum>
  <w:abstractNum w:abstractNumId="26">
    <w:nsid w:val="6A2342EC"/>
    <w:multiLevelType w:val="hybridMultilevel"/>
    <w:lvl w:ilvl="0">
      <w:lvlJc w:val="left"/>
      <w:lvlText w:val="(%1)"/>
      <w:numFmt w:val="lowerLetter"/>
      <w:start w:val="2"/>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lowerLetter"/>
      <w:start w:val="2"/>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lowerRoman"/>
      <w:start w:val="3"/>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lvl w:ilvl="1">
      <w:lvlJc w:val="left"/>
      <w:lvlText w:val="(%2)"/>
      <w:numFmt w:val="lowerRoman"/>
      <w:start w:val="1"/>
    </w:lvl>
  </w:abstractNum>
  <w:abstractNum w:abstractNumId="45">
    <w:nsid w:val="75C6C33A"/>
    <w:multiLevelType w:val="hybridMultilevel"/>
    <w:lvl w:ilvl="0">
      <w:lvlJc w:val="left"/>
      <w:lvlText w:val="(%1)"/>
      <w:numFmt w:val="decimal"/>
      <w:start w:val="2"/>
    </w:lvl>
  </w:abstractNum>
  <w:abstractNum w:abstractNumId="46">
    <w:nsid w:val="12E685FB"/>
    <w:multiLevelType w:val="hybridMultilevel"/>
    <w:lvl w:ilvl="0">
      <w:lvlJc w:val="left"/>
      <w:lvlText w:val="(%1)"/>
      <w:numFmt w:val="lowerRoman"/>
      <w:start w:val="1"/>
    </w:lvl>
  </w:abstractNum>
  <w:abstractNum w:abstractNumId="47">
    <w:nsid w:val="70C6A529"/>
    <w:multiLevelType w:val="hybridMultilevel"/>
    <w:lvl w:ilvl="0">
      <w:lvlJc w:val="left"/>
      <w:lvlText w:val="%1"/>
      <w:numFmt w:val="decimal"/>
      <w:start w:val="1"/>
    </w:lvl>
    <w:lvl w:ilvl="1">
      <w:lvlJc w:val="left"/>
      <w:lvlText w:val="(%2)"/>
      <w:numFmt w:val="lowerRoman"/>
      <w:start w:val="2"/>
    </w:lvl>
  </w:abstractNum>
  <w:abstractNum w:abstractNumId="48">
    <w:nsid w:val="520EEDD1"/>
    <w:multiLevelType w:val="hybridMultilevel"/>
    <w:lvl w:ilvl="0">
      <w:lvlJc w:val="left"/>
      <w:lvlText w:val="(%1)"/>
      <w:numFmt w:val="decimal"/>
      <w:start w:val="6"/>
    </w:lvl>
    <w:lvl w:ilvl="1">
      <w:lvlJc w:val="left"/>
      <w:lvlText w:val="(%2)"/>
      <w:numFmt w:val="lowerRoman"/>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lowerRoman"/>
      <w:start w:val="1"/>
    </w:lvl>
  </w:abstractNum>
  <w:abstractNum w:abstractNumId="52">
    <w:nsid w:val="649BB77C"/>
    <w:multiLevelType w:val="hybridMultilevel"/>
    <w:lvl w:ilvl="0">
      <w:lvlJc w:val="left"/>
      <w:lvlText w:val="1"/>
      <w:numFmt w:val="bullet"/>
      <w:start w:val="1"/>
    </w:lvl>
  </w:abstractNum>
  <w:abstractNum w:abstractNumId="53">
    <w:nsid w:val="275AC794"/>
    <w:multiLevelType w:val="hybridMultilevel"/>
    <w:lvl w:ilvl="0">
      <w:lvlJc w:val="left"/>
      <w:lvlText w:val="2"/>
      <w:numFmt w:val="bullet"/>
      <w:start w:val="1"/>
    </w:lvl>
  </w:abstractNum>
  <w:abstractNum w:abstractNumId="54">
    <w:nsid w:val="39386575"/>
    <w:multiLevelType w:val="hybridMultilevel"/>
    <w:lvl w:ilvl="0">
      <w:lvlJc w:val="left"/>
      <w:lvlText w:val="3"/>
      <w:numFmt w:val="bullet"/>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4"/>
      <w:numFmt w:val="bullet"/>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jpeg"/><Relationship Id="rId76" Type="http://schemas.openxmlformats.org/officeDocument/2006/relationships/image" Target="media/image60.png"/><Relationship Id="rId77" Type="http://schemas.openxmlformats.org/officeDocument/2006/relationships/image" Target="media/image61.jpeg"/><Relationship Id="rId78" Type="http://schemas.openxmlformats.org/officeDocument/2006/relationships/image" Target="media/image62.png"/><Relationship Id="rId79" Type="http://schemas.openxmlformats.org/officeDocument/2006/relationships/image" Target="media/image63.jpeg"/><Relationship Id="rId80" Type="http://schemas.openxmlformats.org/officeDocument/2006/relationships/image" Target="media/image64.png"/><Relationship Id="rId81" Type="http://schemas.openxmlformats.org/officeDocument/2006/relationships/image" Target="media/image65.jpeg"/><Relationship Id="rId82" Type="http://schemas.openxmlformats.org/officeDocument/2006/relationships/image" Target="media/image66.png"/><Relationship Id="rId83" Type="http://schemas.openxmlformats.org/officeDocument/2006/relationships/image" Target="media/image67.jpeg"/><Relationship Id="rId84" Type="http://schemas.openxmlformats.org/officeDocument/2006/relationships/image" Target="media/image68.jpeg"/><Relationship Id="rId85" Type="http://schemas.openxmlformats.org/officeDocument/2006/relationships/image" Target="media/image69.png"/><Relationship Id="rId86" Type="http://schemas.openxmlformats.org/officeDocument/2006/relationships/image" Target="media/image70.jpeg"/><Relationship Id="rId87" Type="http://schemas.openxmlformats.org/officeDocument/2006/relationships/image" Target="media/image71.png"/><Relationship Id="rId88" Type="http://schemas.openxmlformats.org/officeDocument/2006/relationships/image" Target="media/image72.jpe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60" Type="http://schemas.openxmlformats.org/officeDocument/2006/relationships/hyperlink" Target="https://www.sec.gov/Archives/edgar/data/1985139/000149315226004368/form20-f.htm" TargetMode="External"/><Relationship Id="rId61" Type="http://schemas.openxmlformats.org/officeDocument/2006/relationships/hyperlink" Target="https://www.sec.gov/Archives/edgar/data/1985139/000149315226006870/form6-k.htm" TargetMode="External"/><Relationship Id="rId62" Type="http://schemas.openxmlformats.org/officeDocument/2006/relationships/hyperlink" Target="https://www.sec.gov/Archives/edgar/data/1985139/000149315226004168/form6-k.htm" TargetMode="External"/><Relationship Id="rId63" Type="http://schemas.openxmlformats.org/officeDocument/2006/relationships/hyperlink" Target="https://www.sec.gov/Archives/edgar/data/1985139/000149315226003498/form6-k.htm" TargetMode="External"/><Relationship Id="rId64" Type="http://schemas.openxmlformats.org/officeDocument/2006/relationships/hyperlink" Target="https://www.sec.gov/Archives/edgar/data/1985139/000149315226003202/form6-k.htm" TargetMode="External"/><Relationship Id="rId65" Type="http://schemas.openxmlformats.org/officeDocument/2006/relationships/hyperlink" Target="https://www.sec.gov/Archives/edgar/data/1985139/000149315224050554/form8-a12b.htm" TargetMode="External"/><Relationship Id="rId66" Type="http://schemas.openxmlformats.org/officeDocument/2006/relationships/hyperlink" Target="https://www.sec.gov/Archives/edgar/data/1985139/000149315226004368/ex2-3.htm" TargetMode="External"/><Relationship Id="rId72" Type="http://schemas.openxmlformats.org/officeDocument/2006/relationships/hyperlink" Target="https://www.sec.gov/Archives/edgar/data/1985139/000149315226004368/ex1-1.htm" TargetMode="External"/><Relationship Id="rId73" Type="http://schemas.openxmlformats.org/officeDocument/2006/relationships/hyperlink" Target="https://www.sec.gov/Archives/edgar/data/1985139/000149315224038956/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2026-06-08T16:30:24Z</dcterms:created>
  <dcterms:modified xsi:type="dcterms:W3CDTF">2026-06-08T16:30:24Z</dcterms:modified>
</cp:coreProperties>
</file>