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April 16,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Hongliang Li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Leishen Energy Holding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>103 Huizhong Li, B Building, Peking Times Square, Unit 15B10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Chaoyang District, Beijing, China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Leishen Energy Holding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Form 20-F for Fiscal Year Ended September 30,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January 30,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001-42445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Hongliang Li: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limited our review of your filing to the 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related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 and have the following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respond to this letter within ten business days by providing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or advise us as soon as possible when you will respond. If you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believe a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 applies to your facts and circumstances, please tell us why 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reviewing your response to this letter, we may have additional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Form 20-F for Fiscal Year Ended September 30,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15. Controls and Procedures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Management   s Annual Report on Internal Control over Financial Reporting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Attestation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 of the Registered Public Accounting Firm, page 90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As the company has previously filed an annual Form 20-F, it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meets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exemption requirements. Please amend the filing to provide management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 annual report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on internal control over financial reporting as required by Part II,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15(b) of the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20-F. Please ensure the amendment includes updated certifications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refer to the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20-F/A.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April 16,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Index to Consolidated 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Notes to the Consolidated 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 20     Segment Information, page F-31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Please amend your filing to provide the segment information required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Standard Update 2023-07 or explain why you believe you are not subject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amendments in the Update. To the extent you agree the Update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current period, please provide all disclosures required by ASC</w:t>
      </w:r>
    </w:p>
    <w:p>
      <w:pPr>
        <w:pStyle w:val="PreformattedText"/>
        <w:bidi w:val="0"/>
        <w:spacing w:before="0" w:after="0"/>
        <w:jc w:val="left"/>
        <w:rPr/>
      </w:pPr>
      <w:r>
        <w:rPr/>
        <w:t>280-10-50, including: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The title and position of the individual or the name of the group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committee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identified as the chief operating decision maker. See ASC</w:t>
      </w:r>
    </w:p>
    <w:p>
      <w:pPr>
        <w:pStyle w:val="PreformattedText"/>
        <w:bidi w:val="0"/>
        <w:spacing w:before="0" w:after="0"/>
        <w:jc w:val="left"/>
        <w:rPr/>
      </w:pPr>
      <w:r>
        <w:rPr/>
        <w:t>280-10-50-21(c).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Each segment   s measure(s) of profit or loss used by the chief</w:t>
      </w:r>
    </w:p>
    <w:p>
      <w:pPr>
        <w:pStyle w:val="PreformattedText"/>
        <w:bidi w:val="0"/>
        <w:spacing w:before="0" w:after="0"/>
        <w:jc w:val="left"/>
        <w:rPr/>
      </w:pPr>
      <w:r>
        <w:rPr/>
        <w:t>operating decision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maker (CODM) in assessing segment performance and allocating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resources. See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ASC 280-10-50-28A and 50-29.f.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Disclosures that reconcile the segmented information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consolidated 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information for each period an income statement is presented,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ASC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280-10-50-30 and 50-31.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Significant expense categories that are regularly reviewed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included in reported segment profit or loss in accordance with ASC</w:t>
      </w:r>
    </w:p>
    <w:p>
      <w:pPr>
        <w:pStyle w:val="PreformattedText"/>
        <w:bidi w:val="0"/>
        <w:spacing w:before="0" w:after="0"/>
        <w:jc w:val="left"/>
        <w:rPr/>
      </w:pPr>
      <w:r>
        <w:rPr/>
        <w:t>280-10-50-26A.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If you do not disclose significant expense categories for one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more reportable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segments, explain the nature of the expense information the CODM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uses to manage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operations. See ASC 280-10-50-26C.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Disclose amounts of other segment items that may be required by ASC</w:t>
      </w:r>
    </w:p>
    <w:p>
      <w:pPr>
        <w:pStyle w:val="PreformattedText"/>
        <w:bidi w:val="0"/>
        <w:spacing w:before="0" w:after="0"/>
        <w:jc w:val="left"/>
        <w:rPr/>
      </w:pPr>
      <w:r>
        <w:rPr/>
        <w:t>280-10-50-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26B, as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closing, we remind you that the company and its management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responsible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accuracy and adequacy of their disclosures, notwithstanding any review,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comments, action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Please contact Myra Moosariparambil at 202-551-3796 or Kimberly Calder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</w:t>
      </w:r>
    </w:p>
    <w:p>
      <w:pPr>
        <w:pStyle w:val="PreformattedText"/>
        <w:bidi w:val="0"/>
        <w:spacing w:before="0" w:after="0"/>
        <w:jc w:val="left"/>
        <w:rPr/>
      </w:pPr>
      <w:r>
        <w:rPr/>
        <w:t>3701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Office of Energy &amp;</w:t>
      </w:r>
    </w:p>
    <w:p>
      <w:pPr>
        <w:pStyle w:val="PreformattedText"/>
        <w:bidi w:val="0"/>
        <w:spacing w:before="0" w:after="283"/>
        <w:jc w:val="left"/>
        <w:rPr/>
      </w:pPr>
      <w:r>
        <w:rPr/>
        <w:t>Transportation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502</Words>
  <Characters>2737</Characters>
  <CharactersWithSpaces>3690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