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51001__20"/>
      <w:bookmarkEnd w:id="2"/>
      <w:r>
        <w:rPr>
          <w:rFonts w:ascii="Times New Roman;Times;Serif" w:hAnsi="Times New Roman;Times;Serif"/>
          <w:b/>
          <w:i w:val="false"/>
          <w:caps w:val="false"/>
          <w:smallCaps w:val="false"/>
          <w:sz w:val="36"/>
        </w:rPr>
        <w:t>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3_edei--EntityRegistrantName_c2025"/>
      <w:bookmarkEnd w:id="3"/>
      <w:r>
        <w:rPr>
          <w:rFonts w:ascii="Times New Roman;Times;Serif" w:hAnsi="Times New Roman;Times;Serif"/>
          <w:b/>
          <w:i w:val="false"/>
          <w:caps w:val="false"/>
          <w:smallCaps w:val="false"/>
          <w:sz w:val="36"/>
        </w:rPr>
        <w:t>Leishen Energy Holding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 Huizhong Li, B Building, Peking Times Square, Unit 15B10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Chaoyang District, Beijing,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Interim Results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consolidated financial statements as of March 31, 2026 and for the six months period then ended (the “</w:t>
      </w:r>
      <w:r>
        <w:rPr>
          <w:rFonts w:ascii="Times New Roman;Times;Serif" w:hAnsi="Times New Roman;Times;Serif"/>
          <w:b/>
          <w:i w:val="false"/>
          <w:caps w:val="false"/>
          <w:smallCaps w:val="false"/>
          <w:sz w:val="20"/>
        </w:rPr>
        <w:t>Interim Results</w:t>
      </w:r>
      <w:r>
        <w:rPr>
          <w:rFonts w:ascii="Times New Roman;Times;Serif" w:hAnsi="Times New Roman;Times;Serif"/>
          <w:b w:val="false"/>
          <w:i w:val="false"/>
          <w:caps w:val="false"/>
          <w:smallCaps w:val="false"/>
          <w:sz w:val="20"/>
        </w:rPr>
        <w:t>”) of Leishen Energy Holding Co., Ltd., an exempted company incorporated in the Cayman Islands (“</w:t>
      </w:r>
      <w:r>
        <w:rPr>
          <w:rFonts w:ascii="Times New Roman;Times;Serif" w:hAnsi="Times New Roman;Times;Serif"/>
          <w:b/>
          <w:i w:val="false"/>
          <w:caps w:val="false"/>
          <w:smallCaps w:val="false"/>
          <w:sz w:val="20"/>
        </w:rPr>
        <w:t>Leishen Cayman</w:t>
      </w:r>
      <w:r>
        <w:rPr>
          <w:rFonts w:ascii="Times New Roman;Times;Serif" w:hAnsi="Times New Roman;Times;Serif"/>
          <w:b w:val="false"/>
          <w:i w:val="false"/>
          <w:caps w:val="false"/>
          <w:smallCaps w:val="false"/>
          <w:sz w:val="20"/>
        </w:rPr>
        <w:t>”) and its subsidiaries (collectively,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furnished as Exhibit 99.1 to this current report on Form 6-K (this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management’s discussion and analysis of financial condition and results of operations for the Company’s Interim Results is furnished as Exhibit 99.2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Report with respect to the Company’s current plans, estimates, strategies and beliefs and other statements that are not historical facts are forward-looking statements about the future performance of the Company. These forward-looking statements are made under the “safe-harbor”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these forward-looking statements. Forward-looking statements include, but are not limited to, those statements using words such as “believe,” “expect,” “plans,” “strategy,” “prospects,” “forecast,” “estimate,” “project,” “anticipate,” “aim,” “intend,” “seek,” “may,” “might,” “could” or “should,” and words of similar meaning in connection with a discussion of future operations, financial performance, events or conditions. From time to time, oral or written forward-looking statements may also be included in other materials released to the public. These statements are based on management’s assumptions, judgments and beliefs in light of the information currently available to it. The Company cautions investors that a number of important risks and uncertainties could cause actual results to differ materially from those discussed in the forward-looking statements, including but not limited to, product and service demand and acceptance, changes in technology, economic conditions, the impact of competition and pricing, government regulation, and other risks contained in reports filed by Leishen Cayman with the U.S. Securities and Exchange Commission. Therefore, investors should not place undue reliance on such forward-looking statements. Actual results may differ significantly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forward-looking statements, whether written or oral, and whether made by or on behalf of the Company, are expressly qualified by the cautionary statements and any other cautionary statements which may accompany the forward-looking statements. In addition, the Company disclaims any obligation to update any forward-looking statements to reflect events or circumstances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is hereby incorporated by reference into the registration statement of Leishen Cayman on Form F-3 (File No. </w:t>
      </w:r>
      <w:hyperlink r:id="rId2">
        <w:r>
          <w:rPr>
            <w:rStyle w:val="InternetLink"/>
            <w:rFonts w:ascii="Times New Roman;Times;Serif" w:hAnsi="Times New Roman;Times;Serif"/>
            <w:b w:val="false"/>
            <w:i w:val="false"/>
            <w:caps w:val="false"/>
            <w:smallCaps w:val="false"/>
            <w:sz w:val="20"/>
          </w:rPr>
          <w:t>333-296613</w:t>
        </w:r>
      </w:hyperlink>
      <w:r>
        <w:rPr>
          <w:rFonts w:ascii="Times New Roman;Times;Serif" w:hAnsi="Times New Roman;Times;Serif"/>
          <w:b w:val="false"/>
          <w:i w:val="false"/>
          <w:caps w:val="false"/>
          <w:smallCaps w:val="false"/>
          <w:sz w:val="20"/>
        </w:rPr>
        <w:t>), to be a part thereof from the date on which this Report is submitted and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5004" w:type="dxa"/>
        <w:jc w:val="left"/>
        <w:tblInd w:w="0" w:type="dxa"/>
        <w:tblLayout w:type="fixed"/>
        <w:tblCellMar>
          <w:top w:w="0" w:type="dxa"/>
          <w:left w:w="0" w:type="dxa"/>
          <w:bottom w:w="0" w:type="dxa"/>
          <w:right w:w="0" w:type="dxa"/>
        </w:tblCellMar>
      </w:tblPr>
      <w:tblGrid>
        <w:gridCol w:w="2135"/>
        <w:gridCol w:w="641"/>
        <w:gridCol w:w="2228"/>
      </w:tblGrid>
      <w:tr>
        <w:trPr/>
        <w:tc>
          <w:tcPr>
            <w:tcW w:w="213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2869" w:type="dxa"/>
            <w:gridSpan w:val="2"/>
            <w:tcBorders/>
            <w:shd w:fill="FEFEFE"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Leishen Energy Holding Co., Ltd.</w:t>
            </w:r>
          </w:p>
        </w:tc>
      </w:tr>
      <w:tr>
        <w:trPr/>
        <w:tc>
          <w:tcPr>
            <w:tcW w:w="213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2228"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tc>
        <w:tc>
          <w:tcPr>
            <w:tcW w:w="641"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28" w:type="dxa"/>
            <w:tcBorders>
              <w:bottom w:val="single" w:sz="8" w:space="0" w:color="000000"/>
            </w:tcBorders>
            <w:shd w:fill="FEFEFE"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Zhiping Yu</w:t>
            </w:r>
          </w:p>
        </w:tc>
      </w:tr>
      <w:tr>
        <w:trPr/>
        <w:tc>
          <w:tcPr>
            <w:tcW w:w="213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28"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Zhiping Yu</w:t>
            </w:r>
          </w:p>
        </w:tc>
      </w:tr>
      <w:tr>
        <w:trPr/>
        <w:tc>
          <w:tcPr>
            <w:tcW w:w="2135" w:type="dxa"/>
            <w:tcBorders/>
            <w:shd w:fill="FEFEFE"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28" w:type="dxa"/>
            <w:tcBorders/>
            <w:shd w:fill="FEFEFE"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941"/>
        <w:gridCol w:w="60"/>
        <w:gridCol w:w="9204"/>
      </w:tblGrid>
      <w:tr>
        <w:trPr/>
        <w:tc>
          <w:tcPr>
            <w:tcW w:w="941"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Unaudited Interim Condensed Consolidated Financial Statements for the Six Months Ended March 31, 2026</w:t>
              </w:r>
            </w:hyperlink>
          </w:p>
        </w:tc>
      </w:tr>
      <w:tr>
        <w:trPr/>
        <w:tc>
          <w:tcPr>
            <w:tcW w:w="9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FFFFFF" w:val="clear"/>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Management’s Discussion and Analysis of Financial Condition and Results of Operations for the Six Months Ended March 31, 2026</w:t>
              </w:r>
            </w:hyperlink>
          </w:p>
        </w:tc>
      </w:tr>
      <w:tr>
        <w:trPr/>
        <w:tc>
          <w:tcPr>
            <w:tcW w:w="9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INS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9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SCH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9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CAL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9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DEF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9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LAB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94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PRE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94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LEISHEN ENERGY HOLDING CO., LTD.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20"/>
        <w:gridCol w:w="60"/>
        <w:gridCol w:w="625"/>
      </w:tblGrid>
      <w:tr>
        <w:trPr/>
        <w:tc>
          <w:tcPr>
            <w:tcW w:w="95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95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520" w:type="dxa"/>
            <w:tcBorders/>
            <w:shd w:fill="CCEEFF" w:val="clear"/>
            <w:vAlign w:val="center"/>
          </w:tcPr>
          <w:p>
            <w:pPr>
              <w:pStyle w:val="TableContents"/>
              <w:bidi w:val="0"/>
              <w:spacing w:before="0" w:after="283"/>
              <w:jc w:val="both"/>
              <w:rPr/>
            </w:pPr>
            <w:hyperlink w:anchor="Y-001">
              <w:r>
                <w:rPr>
                  <w:rStyle w:val="InternetLink"/>
                  <w:rFonts w:ascii="Times New Roman;Times;Serif" w:hAnsi="Times New Roman;Times;Serif"/>
                  <w:b w:val="false"/>
                  <w:i w:val="false"/>
                  <w:caps w:val="false"/>
                  <w:smallCaps w:val="false"/>
                  <w:sz w:val="20"/>
                </w:rPr>
                <w:t>Condensed Consolidated Balance Sheets as of March 31, 2026 (Unaudited) and September 30,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5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20" w:type="dxa"/>
            <w:tcBorders/>
            <w:shd w:fill="CCEEFF" w:val="clear"/>
            <w:vAlign w:val="center"/>
          </w:tcPr>
          <w:p>
            <w:pPr>
              <w:pStyle w:val="TableContents"/>
              <w:bidi w:val="0"/>
              <w:spacing w:before="0" w:after="283"/>
              <w:jc w:val="both"/>
              <w:rPr/>
            </w:pPr>
            <w:hyperlink w:anchor="Y-002">
              <w:r>
                <w:rPr>
                  <w:rStyle w:val="InternetLink"/>
                  <w:rFonts w:ascii="Times New Roman;Times;Serif" w:hAnsi="Times New Roman;Times;Serif"/>
                  <w:b w:val="false"/>
                  <w:i w:val="false"/>
                  <w:caps w:val="false"/>
                  <w:smallCaps w:val="false"/>
                  <w:sz w:val="20"/>
                </w:rPr>
                <w:t>Unaudited Condensed Consolidated Statements of Operations and Comprehensive Loss for the Six Months Ended March 31, 2026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5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20" w:type="dxa"/>
            <w:tcBorders/>
            <w:shd w:fill="CCEEFF" w:val="clear"/>
            <w:vAlign w:val="center"/>
          </w:tcPr>
          <w:p>
            <w:pPr>
              <w:pStyle w:val="TableContents"/>
              <w:bidi w:val="0"/>
              <w:spacing w:before="0" w:after="283"/>
              <w:jc w:val="both"/>
              <w:rPr/>
            </w:pPr>
            <w:hyperlink w:anchor="Y-003">
              <w:r>
                <w:rPr>
                  <w:rStyle w:val="InternetLink"/>
                  <w:rFonts w:ascii="Times New Roman;Times;Serif" w:hAnsi="Times New Roman;Times;Serif"/>
                  <w:b w:val="false"/>
                  <w:i w:val="false"/>
                  <w:caps w:val="false"/>
                  <w:smallCaps w:val="false"/>
                  <w:sz w:val="20"/>
                </w:rPr>
                <w:t>Unaudited Condensed Consolidated Statements of Changes in Equity for the Six Months Ended March 31, 2026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5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20" w:type="dxa"/>
            <w:tcBorders/>
            <w:shd w:fill="CCEEFF" w:val="clear"/>
            <w:vAlign w:val="center"/>
          </w:tcPr>
          <w:p>
            <w:pPr>
              <w:pStyle w:val="TableContents"/>
              <w:bidi w:val="0"/>
              <w:spacing w:before="0" w:after="283"/>
              <w:jc w:val="both"/>
              <w:rPr/>
            </w:pPr>
            <w:hyperlink w:anchor="Y-004">
              <w:r>
                <w:rPr>
                  <w:rStyle w:val="InternetLink"/>
                  <w:rFonts w:ascii="Times New Roman;Times;Serif" w:hAnsi="Times New Roman;Times;Serif"/>
                  <w:b w:val="false"/>
                  <w:i w:val="false"/>
                  <w:caps w:val="false"/>
                  <w:smallCaps w:val="false"/>
                  <w:sz w:val="20"/>
                </w:rPr>
                <w:t>Unaudited Condensed Consolidated Statements of Cash Flows for the Six Months Ended March 31, 2026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52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520" w:type="dxa"/>
            <w:tcBorders/>
            <w:shd w:fill="CCEEFF" w:val="clear"/>
            <w:vAlign w:val="center"/>
          </w:tcPr>
          <w:p>
            <w:pPr>
              <w:pStyle w:val="TableContents"/>
              <w:bidi w:val="0"/>
              <w:spacing w:before="0" w:after="283"/>
              <w:jc w:val="both"/>
              <w:rPr/>
            </w:pPr>
            <w:hyperlink w:anchor="Y-005">
              <w:r>
                <w:rPr>
                  <w:rStyle w:val="InternetLink"/>
                  <w:rFonts w:ascii="Times New Roman;Times;Serif" w:hAnsi="Times New Roman;Times;Serif"/>
                  <w:b w:val="false"/>
                  <w:i w:val="false"/>
                  <w:caps w:val="false"/>
                  <w:smallCaps w:val="false"/>
                  <w:sz w:val="20"/>
                </w:rPr>
                <w:t>Notes to the Unaudited Condensed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Y-001"/>
      <w:bookmarkEnd w:id="6"/>
      <w:r>
        <w:rPr>
          <w:rFonts w:ascii="Times New Roman;Times;Serif" w:hAnsi="Times New Roman;Times;Serif"/>
          <w:b/>
          <w:i w:val="false"/>
          <w:caps w:val="false"/>
          <w:smallCaps w:val="false"/>
          <w:sz w:val="20"/>
        </w:rPr>
        <w:t>LEISHEN ENERGY HOLDING CO., LTD.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 w:name="xdx_30C_111_zQeSlkK4Wuaf"/>
      <w:bookmarkStart w:id="8" w:name="xdx_30C_111_zQeSlkK4Wuaf"/>
      <w:bookmarkEnd w:id="8"/>
    </w:p>
    <w:tbl>
      <w:tblPr>
        <w:tblW w:w="10205" w:type="dxa"/>
        <w:jc w:val="left"/>
        <w:tblInd w:w="0" w:type="dxa"/>
        <w:tblLayout w:type="fixed"/>
        <w:tblCellMar>
          <w:top w:w="0" w:type="dxa"/>
          <w:left w:w="0" w:type="dxa"/>
          <w:bottom w:w="0" w:type="dxa"/>
          <w:right w:w="0" w:type="dxa"/>
        </w:tblCellMar>
      </w:tblPr>
      <w:tblGrid>
        <w:gridCol w:w="7297"/>
        <w:gridCol w:w="60"/>
        <w:gridCol w:w="140"/>
        <w:gridCol w:w="1103"/>
        <w:gridCol w:w="95"/>
        <w:gridCol w:w="60"/>
        <w:gridCol w:w="150"/>
        <w:gridCol w:w="1187"/>
        <w:gridCol w:w="113"/>
      </w:tblGrid>
      <w:tr>
        <w:trPr/>
        <w:tc>
          <w:tcPr>
            <w:tcW w:w="7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 w:name="xdx_499_20260331_zDt9TSWLaXN3"/>
            <w:bookmarkEnd w:id="9"/>
          </w:p>
        </w:tc>
        <w:tc>
          <w:tcPr>
            <w:tcW w:w="12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 w:name="xdx_493_20250930_zjaOg7mtAWC6"/>
            <w:bookmarkEnd w:id="10"/>
          </w:p>
        </w:tc>
        <w:tc>
          <w:tcPr>
            <w:tcW w:w="13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113" w:type="dxa"/>
            <w:tcBorders/>
            <w:vAlign w:val="center"/>
          </w:tcPr>
          <w:p>
            <w:pPr>
              <w:pStyle w:val="TableContents"/>
              <w:bidi w:val="0"/>
              <w:spacing w:before="0" w:after="283"/>
              <w:jc w:val="left"/>
              <w:rPr/>
            </w:pPr>
            <w:r>
              <w:rPr/>
              <w:t> </w:t>
            </w:r>
          </w:p>
        </w:tc>
      </w:tr>
      <w:tr>
        <w:trPr/>
        <w:tc>
          <w:tcPr>
            <w:tcW w:w="72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3"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7" w:type="dxa"/>
            <w:gridSpan w:val="2"/>
            <w:tcBorders/>
            <w:vAlign w:val="center"/>
          </w:tcPr>
          <w:p>
            <w:pPr>
              <w:pStyle w:val="TableContents"/>
              <w:bidi w:val="0"/>
              <w:spacing w:before="0" w:after="283"/>
              <w:jc w:val="right"/>
              <w:rPr/>
            </w:pPr>
            <w:r>
              <w:rPr/>
              <w:t> </w:t>
            </w:r>
          </w:p>
        </w:tc>
        <w:tc>
          <w:tcPr>
            <w:tcW w:w="113" w:type="dxa"/>
            <w:tcBorders/>
            <w:vAlign w:val="center"/>
          </w:tcPr>
          <w:p>
            <w:pPr>
              <w:pStyle w:val="TableContents"/>
              <w:bidi w:val="0"/>
              <w:spacing w:before="0" w:after="283"/>
              <w:jc w:val="left"/>
              <w:rPr/>
            </w:pPr>
            <w:r>
              <w:rPr/>
              <w:t> </w:t>
            </w:r>
            <w:bookmarkStart w:id="11" w:name="xdx_40C_eus-gaap--AssetsAbstract_iB_zCJi"/>
            <w:bookmarkEnd w:id="11"/>
          </w:p>
        </w:tc>
      </w:tr>
      <w:tr>
        <w:trPr/>
        <w:tc>
          <w:tcPr>
            <w:tcW w:w="729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2" w:name="xdx_402_eus-gaap--AssetsCurrentAbstract_"/>
            <w:bookmarkEnd w:id="12"/>
          </w:p>
        </w:tc>
      </w:tr>
      <w:tr>
        <w:trPr/>
        <w:tc>
          <w:tcPr>
            <w:tcW w:w="7297"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3" w:name="xdx_40C_eus-gaap--Cash_i02I_maACzPib_zud"/>
            <w:bookmarkEnd w:id="13"/>
          </w:p>
        </w:tc>
      </w:tr>
      <w:tr>
        <w:trPr/>
        <w:tc>
          <w:tcPr>
            <w:tcW w:w="7297"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10,249,822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10,159,656</w:t>
            </w:r>
          </w:p>
        </w:tc>
        <w:tc>
          <w:tcPr>
            <w:tcW w:w="113" w:type="dxa"/>
            <w:tcBorders/>
            <w:shd w:fill="CCEEFF" w:val="clear"/>
            <w:vAlign w:val="center"/>
          </w:tcPr>
          <w:p>
            <w:pPr>
              <w:pStyle w:val="TableContents"/>
              <w:bidi w:val="0"/>
              <w:spacing w:before="0" w:after="283"/>
              <w:jc w:val="left"/>
              <w:rPr/>
            </w:pPr>
            <w:r>
              <w:rPr/>
              <w:t> </w:t>
            </w:r>
            <w:bookmarkStart w:id="14" w:name="xdx_40C_eus-gaap--RestrictedCash_i02I_ma"/>
            <w:bookmarkEnd w:id="14"/>
          </w:p>
        </w:tc>
      </w:tr>
      <w:tr>
        <w:trPr/>
        <w:tc>
          <w:tcPr>
            <w:tcW w:w="7297"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67,102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931</w:t>
            </w:r>
          </w:p>
        </w:tc>
        <w:tc>
          <w:tcPr>
            <w:tcW w:w="113" w:type="dxa"/>
            <w:tcBorders/>
            <w:shd w:fill="FFFFFF" w:val="clear"/>
            <w:vAlign w:val="center"/>
          </w:tcPr>
          <w:p>
            <w:pPr>
              <w:pStyle w:val="TableContents"/>
              <w:bidi w:val="0"/>
              <w:spacing w:before="0" w:after="283"/>
              <w:jc w:val="left"/>
              <w:rPr/>
            </w:pPr>
            <w:r>
              <w:rPr/>
              <w:t> </w:t>
            </w:r>
            <w:bookmarkStart w:id="15" w:name="xdx_408_eus-gaap--ShortTermInvestments_i"/>
            <w:bookmarkEnd w:id="15"/>
          </w:p>
        </w:tc>
      </w:tr>
      <w:tr>
        <w:trPr/>
        <w:tc>
          <w:tcPr>
            <w:tcW w:w="7297"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16,898,215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18,680,071</w:t>
            </w:r>
          </w:p>
        </w:tc>
        <w:tc>
          <w:tcPr>
            <w:tcW w:w="113" w:type="dxa"/>
            <w:tcBorders/>
            <w:shd w:fill="CCEEFF" w:val="clear"/>
            <w:vAlign w:val="center"/>
          </w:tcPr>
          <w:p>
            <w:pPr>
              <w:pStyle w:val="TableContents"/>
              <w:bidi w:val="0"/>
              <w:spacing w:before="0" w:after="283"/>
              <w:jc w:val="left"/>
              <w:rPr/>
            </w:pPr>
            <w:r>
              <w:rPr/>
              <w:t> </w:t>
            </w:r>
            <w:bookmarkStart w:id="16" w:name="xdx_40A_eus-gaap--AccountsReceivableNetC"/>
            <w:bookmarkEnd w:id="16"/>
          </w:p>
        </w:tc>
      </w:tr>
      <w:tr>
        <w:trPr/>
        <w:tc>
          <w:tcPr>
            <w:tcW w:w="7297"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18,011,916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15,327,945</w:t>
            </w:r>
          </w:p>
        </w:tc>
        <w:tc>
          <w:tcPr>
            <w:tcW w:w="113" w:type="dxa"/>
            <w:tcBorders/>
            <w:shd w:fill="FFFFFF" w:val="clear"/>
            <w:vAlign w:val="center"/>
          </w:tcPr>
          <w:p>
            <w:pPr>
              <w:pStyle w:val="TableContents"/>
              <w:bidi w:val="0"/>
              <w:spacing w:before="0" w:after="283"/>
              <w:jc w:val="left"/>
              <w:rPr/>
            </w:pPr>
            <w:r>
              <w:rPr/>
              <w:t> </w:t>
            </w:r>
            <w:bookmarkStart w:id="17" w:name="xdx_40A_eus-gaap--NotesReceivableNet_i02"/>
            <w:bookmarkEnd w:id="17"/>
          </w:p>
        </w:tc>
      </w:tr>
      <w:tr>
        <w:trPr/>
        <w:tc>
          <w:tcPr>
            <w:tcW w:w="7297" w:type="dxa"/>
            <w:tcBorders/>
            <w:shd w:fill="CCEEFF" w:val="clear"/>
            <w:vAlign w:val="center"/>
          </w:tcPr>
          <w:p>
            <w:pPr>
              <w:pStyle w:val="TableContents"/>
              <w:bidi w:val="0"/>
              <w:spacing w:before="0" w:after="283"/>
              <w:jc w:val="left"/>
              <w:rPr/>
            </w:pPr>
            <w:r>
              <w:rPr/>
              <w:t>Notes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275,889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28,111</w:t>
            </w:r>
          </w:p>
        </w:tc>
        <w:tc>
          <w:tcPr>
            <w:tcW w:w="113" w:type="dxa"/>
            <w:tcBorders/>
            <w:shd w:fill="CCEEFF" w:val="clear"/>
            <w:vAlign w:val="center"/>
          </w:tcPr>
          <w:p>
            <w:pPr>
              <w:pStyle w:val="TableContents"/>
              <w:bidi w:val="0"/>
              <w:spacing w:before="0" w:after="283"/>
              <w:jc w:val="left"/>
              <w:rPr/>
            </w:pPr>
            <w:r>
              <w:rPr/>
              <w:t> </w:t>
            </w:r>
            <w:bookmarkStart w:id="18" w:name="xdx_400_ecustom--AdvanceToSuppliersNet_i"/>
            <w:bookmarkEnd w:id="18"/>
          </w:p>
        </w:tc>
      </w:tr>
      <w:tr>
        <w:trPr/>
        <w:tc>
          <w:tcPr>
            <w:tcW w:w="7297" w:type="dxa"/>
            <w:tcBorders/>
            <w:shd w:fill="FFFFFF" w:val="clear"/>
            <w:vAlign w:val="center"/>
          </w:tcPr>
          <w:p>
            <w:pPr>
              <w:pStyle w:val="TableContents"/>
              <w:bidi w:val="0"/>
              <w:spacing w:before="0" w:after="283"/>
              <w:jc w:val="left"/>
              <w:rPr/>
            </w:pPr>
            <w:r>
              <w:rPr/>
              <w:t>Advance to suppliers,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4,110,057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4,532,267</w:t>
            </w:r>
          </w:p>
        </w:tc>
        <w:tc>
          <w:tcPr>
            <w:tcW w:w="113" w:type="dxa"/>
            <w:tcBorders/>
            <w:shd w:fill="FFFFFF" w:val="clear"/>
            <w:vAlign w:val="center"/>
          </w:tcPr>
          <w:p>
            <w:pPr>
              <w:pStyle w:val="TableContents"/>
              <w:bidi w:val="0"/>
              <w:spacing w:before="0" w:after="283"/>
              <w:jc w:val="left"/>
              <w:rPr/>
            </w:pPr>
            <w:r>
              <w:rPr/>
              <w:t> </w:t>
            </w:r>
            <w:bookmarkStart w:id="19" w:name="xdx_403_eus-gaap--InventoryNet_i02I_maAC"/>
            <w:bookmarkEnd w:id="19"/>
          </w:p>
        </w:tc>
      </w:tr>
      <w:tr>
        <w:trPr/>
        <w:tc>
          <w:tcPr>
            <w:tcW w:w="729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2,760,175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3,653,380</w:t>
            </w:r>
          </w:p>
        </w:tc>
        <w:tc>
          <w:tcPr>
            <w:tcW w:w="113" w:type="dxa"/>
            <w:tcBorders/>
            <w:shd w:fill="CCEEFF" w:val="clear"/>
            <w:vAlign w:val="center"/>
          </w:tcPr>
          <w:p>
            <w:pPr>
              <w:pStyle w:val="TableContents"/>
              <w:bidi w:val="0"/>
              <w:spacing w:before="0" w:after="283"/>
              <w:jc w:val="left"/>
              <w:rPr/>
            </w:pPr>
            <w:r>
              <w:rPr/>
              <w:t> </w:t>
            </w:r>
            <w:bookmarkStart w:id="20" w:name="xdx_407_ecustom--LoansReceivableNetCurre"/>
            <w:bookmarkEnd w:id="20"/>
          </w:p>
        </w:tc>
      </w:tr>
      <w:tr>
        <w:trPr/>
        <w:tc>
          <w:tcPr>
            <w:tcW w:w="7297" w:type="dxa"/>
            <w:tcBorders/>
            <w:shd w:fill="FFFFFF" w:val="clear"/>
            <w:vAlign w:val="center"/>
          </w:tcPr>
          <w:p>
            <w:pPr>
              <w:pStyle w:val="TableContents"/>
              <w:bidi w:val="0"/>
              <w:spacing w:before="0" w:after="283"/>
              <w:jc w:val="left"/>
              <w:rPr/>
            </w:pPr>
            <w:r>
              <w:rPr/>
              <w:t>Loans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3,767,896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3,777,909</w:t>
            </w:r>
          </w:p>
        </w:tc>
        <w:tc>
          <w:tcPr>
            <w:tcW w:w="113" w:type="dxa"/>
            <w:tcBorders/>
            <w:shd w:fill="FFFFFF" w:val="clear"/>
            <w:vAlign w:val="center"/>
          </w:tcPr>
          <w:p>
            <w:pPr>
              <w:pStyle w:val="TableContents"/>
              <w:bidi w:val="0"/>
              <w:spacing w:before="0" w:after="283"/>
              <w:jc w:val="left"/>
              <w:rPr/>
            </w:pPr>
            <w:r>
              <w:rPr/>
              <w:t> </w:t>
            </w:r>
            <w:bookmarkStart w:id="21" w:name="xdx_403_ecustom--LoansReceivableNetCurre"/>
            <w:bookmarkEnd w:id="21"/>
          </w:p>
        </w:tc>
      </w:tr>
      <w:tr>
        <w:trPr/>
        <w:tc>
          <w:tcPr>
            <w:tcW w:w="7297" w:type="dxa"/>
            <w:tcBorders/>
            <w:shd w:fill="CCEEFF" w:val="clear"/>
            <w:vAlign w:val="center"/>
          </w:tcPr>
          <w:p>
            <w:pPr>
              <w:pStyle w:val="TableContents"/>
              <w:bidi w:val="0"/>
              <w:spacing w:before="0" w:after="283"/>
              <w:jc w:val="left"/>
              <w:rPr/>
            </w:pPr>
            <w:r>
              <w:rPr/>
              <w:t>Loan receivable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631,035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2" w:name="xdx_40F_ecustom--LoansReceivableNetCurre"/>
            <w:bookmarkEnd w:id="22"/>
          </w:p>
        </w:tc>
      </w:tr>
      <w:tr>
        <w:trPr/>
        <w:tc>
          <w:tcPr>
            <w:tcW w:w="7297" w:type="dxa"/>
            <w:tcBorders/>
            <w:shd w:fill="CCEEFF" w:val="clear"/>
            <w:vAlign w:val="center"/>
          </w:tcPr>
          <w:p>
            <w:pPr>
              <w:pStyle w:val="TableContents"/>
              <w:bidi w:val="0"/>
              <w:spacing w:before="0" w:after="283"/>
              <w:jc w:val="left"/>
              <w:rPr/>
            </w:pPr>
            <w:r>
              <w:rPr/>
              <w:t>Loan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631,035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 w:name="xdx_409_eus-gaap--PrepaidExpenseAndOther"/>
            <w:bookmarkEnd w:id="23"/>
          </w:p>
        </w:tc>
      </w:tr>
      <w:tr>
        <w:trPr/>
        <w:tc>
          <w:tcPr>
            <w:tcW w:w="7297" w:type="dxa"/>
            <w:tcBorders/>
            <w:shd w:fill="FFFFFF" w:val="clear"/>
            <w:vAlign w:val="center"/>
          </w:tcPr>
          <w:p>
            <w:pPr>
              <w:pStyle w:val="TableContents"/>
              <w:bidi w:val="0"/>
              <w:spacing w:before="0" w:after="283"/>
              <w:jc w:val="left"/>
              <w:rPr/>
            </w:pPr>
            <w:r>
              <w:rPr/>
              <w:t>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3,322,338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2,969,288</w:t>
            </w:r>
          </w:p>
        </w:tc>
        <w:tc>
          <w:tcPr>
            <w:tcW w:w="113" w:type="dxa"/>
            <w:tcBorders/>
            <w:shd w:fill="FFFFFF" w:val="clear"/>
            <w:vAlign w:val="center"/>
          </w:tcPr>
          <w:p>
            <w:pPr>
              <w:pStyle w:val="TableContents"/>
              <w:bidi w:val="0"/>
              <w:spacing w:before="0" w:after="283"/>
              <w:jc w:val="left"/>
              <w:rPr/>
            </w:pPr>
            <w:r>
              <w:rPr/>
              <w:t> </w:t>
            </w:r>
            <w:bookmarkStart w:id="24" w:name="xdx_404_eus-gaap--AssetsCurrent_i02TI_ma"/>
            <w:bookmarkEnd w:id="24"/>
          </w:p>
        </w:tc>
      </w:tr>
      <w:tr>
        <w:trPr/>
        <w:tc>
          <w:tcPr>
            <w:tcW w:w="7297"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60,094,445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59,129,558</w:t>
            </w:r>
          </w:p>
        </w:tc>
        <w:tc>
          <w:tcPr>
            <w:tcW w:w="113" w:type="dxa"/>
            <w:tcBorders/>
            <w:shd w:fill="CCEEFF" w:val="clear"/>
            <w:vAlign w:val="center"/>
          </w:tcPr>
          <w:p>
            <w:pPr>
              <w:pStyle w:val="TableContents"/>
              <w:bidi w:val="0"/>
              <w:spacing w:before="0" w:after="283"/>
              <w:jc w:val="left"/>
              <w:rPr/>
            </w:pPr>
            <w:r>
              <w:rPr/>
              <w:t> </w:t>
            </w:r>
          </w:p>
        </w:tc>
      </w:tr>
      <w:tr>
        <w:trPr/>
        <w:tc>
          <w:tcPr>
            <w:tcW w:w="7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5" w:name="xdx_406_eus-gaap--AssetsNoncurrentAbstra"/>
            <w:bookmarkEnd w:id="25"/>
          </w:p>
        </w:tc>
      </w:tr>
      <w:tr>
        <w:trPr/>
        <w:tc>
          <w:tcPr>
            <w:tcW w:w="7297"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6" w:name="xdx_404_eus-gaap--LongTermInvestments_i0"/>
            <w:bookmarkEnd w:id="26"/>
          </w:p>
        </w:tc>
      </w:tr>
      <w:tr>
        <w:trPr/>
        <w:tc>
          <w:tcPr>
            <w:tcW w:w="7297" w:type="dxa"/>
            <w:tcBorders/>
            <w:shd w:fill="FFFFFF" w:val="clear"/>
            <w:vAlign w:val="center"/>
          </w:tcPr>
          <w:p>
            <w:pPr>
              <w:pStyle w:val="TableContents"/>
              <w:bidi w:val="0"/>
              <w:spacing w:before="0" w:after="283"/>
              <w:jc w:val="left"/>
              <w:rPr/>
            </w:pPr>
            <w:r>
              <w:rPr/>
              <w:t>Long-term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722,606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7" w:name="xdx_40C_eus-gaap--AccountsReceivableNetN"/>
            <w:bookmarkEnd w:id="27"/>
          </w:p>
        </w:tc>
      </w:tr>
      <w:tr>
        <w:trPr/>
        <w:tc>
          <w:tcPr>
            <w:tcW w:w="7297" w:type="dxa"/>
            <w:tcBorders/>
            <w:shd w:fill="CCEEFF" w:val="clear"/>
            <w:vAlign w:val="center"/>
          </w:tcPr>
          <w:p>
            <w:pPr>
              <w:pStyle w:val="TableContents"/>
              <w:bidi w:val="0"/>
              <w:spacing w:before="0" w:after="283"/>
              <w:jc w:val="left"/>
              <w:rPr/>
            </w:pPr>
            <w:r>
              <w:rPr/>
              <w:t>Accounts receivable,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3,339,165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4,306,546</w:t>
            </w:r>
          </w:p>
        </w:tc>
        <w:tc>
          <w:tcPr>
            <w:tcW w:w="113" w:type="dxa"/>
            <w:tcBorders/>
            <w:shd w:fill="CCEEFF" w:val="clear"/>
            <w:vAlign w:val="center"/>
          </w:tcPr>
          <w:p>
            <w:pPr>
              <w:pStyle w:val="TableContents"/>
              <w:bidi w:val="0"/>
              <w:spacing w:before="0" w:after="283"/>
              <w:jc w:val="left"/>
              <w:rPr/>
            </w:pPr>
            <w:r>
              <w:rPr/>
              <w:t> </w:t>
            </w:r>
            <w:bookmarkStart w:id="28" w:name="xdx_408_eus-gaap--PropertyPlantAndEquipm"/>
            <w:bookmarkEnd w:id="28"/>
          </w:p>
        </w:tc>
      </w:tr>
      <w:tr>
        <w:trPr/>
        <w:tc>
          <w:tcPr>
            <w:tcW w:w="729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3,519,543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3,464,953</w:t>
            </w:r>
          </w:p>
        </w:tc>
        <w:tc>
          <w:tcPr>
            <w:tcW w:w="113" w:type="dxa"/>
            <w:tcBorders/>
            <w:shd w:fill="FFFFFF" w:val="clear"/>
            <w:vAlign w:val="center"/>
          </w:tcPr>
          <w:p>
            <w:pPr>
              <w:pStyle w:val="TableContents"/>
              <w:bidi w:val="0"/>
              <w:spacing w:before="0" w:after="283"/>
              <w:jc w:val="left"/>
              <w:rPr/>
            </w:pPr>
            <w:r>
              <w:rPr/>
              <w:t> </w:t>
            </w:r>
            <w:bookmarkStart w:id="29" w:name="xdx_40E_eus-gaap--ConstructionInProgress"/>
            <w:bookmarkEnd w:id="29"/>
          </w:p>
        </w:tc>
      </w:tr>
      <w:tr>
        <w:trPr/>
        <w:tc>
          <w:tcPr>
            <w:tcW w:w="7297" w:type="dxa"/>
            <w:tcBorders/>
            <w:shd w:fill="CCEEFF" w:val="clear"/>
            <w:vAlign w:val="center"/>
          </w:tcPr>
          <w:p>
            <w:pPr>
              <w:pStyle w:val="TableContents"/>
              <w:bidi w:val="0"/>
              <w:spacing w:before="0" w:after="283"/>
              <w:jc w:val="left"/>
              <w:rPr/>
            </w:pPr>
            <w:r>
              <w:rPr/>
              <w:t>Construction in process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85,050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30" w:name="xdx_40B_eus-gaap--OtherIntangibleAssetsN"/>
            <w:bookmarkEnd w:id="30"/>
          </w:p>
        </w:tc>
      </w:tr>
      <w:tr>
        <w:trPr/>
        <w:tc>
          <w:tcPr>
            <w:tcW w:w="7297"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116,644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121,771</w:t>
            </w:r>
          </w:p>
        </w:tc>
        <w:tc>
          <w:tcPr>
            <w:tcW w:w="113" w:type="dxa"/>
            <w:tcBorders/>
            <w:shd w:fill="FFFFFF" w:val="clear"/>
            <w:vAlign w:val="center"/>
          </w:tcPr>
          <w:p>
            <w:pPr>
              <w:pStyle w:val="TableContents"/>
              <w:bidi w:val="0"/>
              <w:spacing w:before="0" w:after="283"/>
              <w:jc w:val="left"/>
              <w:rPr/>
            </w:pPr>
            <w:r>
              <w:rPr/>
              <w:t> </w:t>
            </w:r>
            <w:bookmarkStart w:id="31" w:name="xdx_406_eus-gaap--OperatingLeaseRightOfU"/>
            <w:bookmarkEnd w:id="31"/>
          </w:p>
        </w:tc>
      </w:tr>
      <w:tr>
        <w:trPr/>
        <w:tc>
          <w:tcPr>
            <w:tcW w:w="7297" w:type="dxa"/>
            <w:tcBorders/>
            <w:shd w:fill="CCEEFF" w:val="clear"/>
            <w:vAlign w:val="center"/>
          </w:tcPr>
          <w:p>
            <w:pPr>
              <w:pStyle w:val="TableContents"/>
              <w:bidi w:val="0"/>
              <w:spacing w:before="0" w:after="283"/>
              <w:jc w:val="left"/>
              <w:rPr/>
            </w:pPr>
            <w:r>
              <w:rPr/>
              <w:t>Operating lease right-of-use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686,373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708,944</w:t>
            </w:r>
          </w:p>
        </w:tc>
        <w:tc>
          <w:tcPr>
            <w:tcW w:w="113" w:type="dxa"/>
            <w:tcBorders/>
            <w:shd w:fill="CCEEFF" w:val="clear"/>
            <w:vAlign w:val="center"/>
          </w:tcPr>
          <w:p>
            <w:pPr>
              <w:pStyle w:val="TableContents"/>
              <w:bidi w:val="0"/>
              <w:spacing w:before="0" w:after="283"/>
              <w:jc w:val="left"/>
              <w:rPr/>
            </w:pPr>
            <w:r>
              <w:rPr/>
              <w:t> </w:t>
            </w:r>
            <w:bookmarkStart w:id="32" w:name="xdx_402_ecustom--LoanReceivableNoncurren"/>
            <w:bookmarkEnd w:id="32"/>
          </w:p>
        </w:tc>
      </w:tr>
      <w:tr>
        <w:trPr/>
        <w:tc>
          <w:tcPr>
            <w:tcW w:w="7297" w:type="dxa"/>
            <w:tcBorders/>
            <w:shd w:fill="FFFFFF" w:val="clear"/>
            <w:vAlign w:val="center"/>
          </w:tcPr>
          <w:p>
            <w:pPr>
              <w:pStyle w:val="TableContents"/>
              <w:bidi w:val="0"/>
              <w:spacing w:before="0" w:after="283"/>
              <w:jc w:val="left"/>
              <w:rPr/>
            </w:pPr>
            <w:r>
              <w:rPr/>
              <w:t>Loans receivable,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894,012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963,243</w:t>
            </w:r>
          </w:p>
        </w:tc>
        <w:tc>
          <w:tcPr>
            <w:tcW w:w="113" w:type="dxa"/>
            <w:tcBorders/>
            <w:shd w:fill="FFFFFF" w:val="clear"/>
            <w:vAlign w:val="center"/>
          </w:tcPr>
          <w:p>
            <w:pPr>
              <w:pStyle w:val="TableContents"/>
              <w:bidi w:val="0"/>
              <w:spacing w:before="0" w:after="283"/>
              <w:jc w:val="left"/>
              <w:rPr/>
            </w:pPr>
            <w:r>
              <w:rPr/>
              <w:t> </w:t>
            </w:r>
            <w:bookmarkStart w:id="33" w:name="xdx_406_ecustom--DeferredTaxAssets_i02I_"/>
            <w:bookmarkEnd w:id="33"/>
          </w:p>
        </w:tc>
      </w:tr>
      <w:tr>
        <w:trPr/>
        <w:tc>
          <w:tcPr>
            <w:tcW w:w="7297" w:type="dxa"/>
            <w:tcBorders/>
            <w:shd w:fill="CCEEFF" w:val="clear"/>
            <w:vAlign w:val="center"/>
          </w:tcPr>
          <w:p>
            <w:pPr>
              <w:pStyle w:val="TableContents"/>
              <w:bidi w:val="0"/>
              <w:spacing w:before="0" w:after="283"/>
              <w:jc w:val="left"/>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768,909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602,258</w:t>
            </w:r>
          </w:p>
        </w:tc>
        <w:tc>
          <w:tcPr>
            <w:tcW w:w="113" w:type="dxa"/>
            <w:tcBorders/>
            <w:shd w:fill="CCEEFF" w:val="clear"/>
            <w:vAlign w:val="center"/>
          </w:tcPr>
          <w:p>
            <w:pPr>
              <w:pStyle w:val="TableContents"/>
              <w:bidi w:val="0"/>
              <w:spacing w:before="0" w:after="283"/>
              <w:jc w:val="left"/>
              <w:rPr/>
            </w:pPr>
            <w:r>
              <w:rPr/>
              <w:t> </w:t>
            </w:r>
            <w:bookmarkStart w:id="34" w:name="xdx_405_eus-gaap--OtherAssetsNoncurrent_"/>
            <w:bookmarkEnd w:id="34"/>
          </w:p>
        </w:tc>
      </w:tr>
      <w:tr>
        <w:trPr/>
        <w:tc>
          <w:tcPr>
            <w:tcW w:w="7297"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31,808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35,359</w:t>
            </w:r>
          </w:p>
        </w:tc>
        <w:tc>
          <w:tcPr>
            <w:tcW w:w="113" w:type="dxa"/>
            <w:tcBorders/>
            <w:shd w:fill="FFFFFF" w:val="clear"/>
            <w:vAlign w:val="center"/>
          </w:tcPr>
          <w:p>
            <w:pPr>
              <w:pStyle w:val="TableContents"/>
              <w:bidi w:val="0"/>
              <w:spacing w:before="0" w:after="283"/>
              <w:jc w:val="left"/>
              <w:rPr/>
            </w:pPr>
            <w:r>
              <w:rPr/>
              <w:t> </w:t>
            </w:r>
            <w:bookmarkStart w:id="35" w:name="xdx_40E_eus-gaap--AssetsNoncurrent_i02TI"/>
            <w:bookmarkEnd w:id="35"/>
          </w:p>
        </w:tc>
      </w:tr>
      <w:tr>
        <w:trPr/>
        <w:tc>
          <w:tcPr>
            <w:tcW w:w="7297"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10,164,110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10,203,074</w:t>
            </w:r>
          </w:p>
        </w:tc>
        <w:tc>
          <w:tcPr>
            <w:tcW w:w="113" w:type="dxa"/>
            <w:tcBorders/>
            <w:shd w:fill="CCEEFF" w:val="clear"/>
            <w:vAlign w:val="center"/>
          </w:tcPr>
          <w:p>
            <w:pPr>
              <w:pStyle w:val="TableContents"/>
              <w:bidi w:val="0"/>
              <w:spacing w:before="0" w:after="283"/>
              <w:jc w:val="left"/>
              <w:rPr/>
            </w:pPr>
            <w:r>
              <w:rPr/>
              <w:t> </w:t>
            </w:r>
          </w:p>
        </w:tc>
      </w:tr>
      <w:tr>
        <w:trPr/>
        <w:tc>
          <w:tcPr>
            <w:tcW w:w="7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6" w:name="xdx_40C_eus-gaap--Assets_i01TI_mtAzUEd_z"/>
            <w:bookmarkEnd w:id="36"/>
          </w:p>
        </w:tc>
      </w:tr>
      <w:tr>
        <w:trPr/>
        <w:tc>
          <w:tcPr>
            <w:tcW w:w="7297"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70,258,555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69,332,632</w:t>
            </w:r>
          </w:p>
        </w:tc>
        <w:tc>
          <w:tcPr>
            <w:tcW w:w="113" w:type="dxa"/>
            <w:tcBorders/>
            <w:shd w:fill="CCEEFF" w:val="clear"/>
            <w:vAlign w:val="center"/>
          </w:tcPr>
          <w:p>
            <w:pPr>
              <w:pStyle w:val="TableContents"/>
              <w:bidi w:val="0"/>
              <w:spacing w:before="0" w:after="283"/>
              <w:jc w:val="left"/>
              <w:rPr/>
            </w:pPr>
            <w:r>
              <w:rPr/>
              <w:t> </w:t>
            </w:r>
          </w:p>
        </w:tc>
      </w:tr>
      <w:tr>
        <w:trPr/>
        <w:tc>
          <w:tcPr>
            <w:tcW w:w="7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7" w:name="xdx_400_eus-gaap--LiabilitiesAndStockhol"/>
            <w:bookmarkEnd w:id="37"/>
          </w:p>
        </w:tc>
      </w:tr>
      <w:tr>
        <w:trPr/>
        <w:tc>
          <w:tcPr>
            <w:tcW w:w="7297"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8" w:name="xdx_40D_eus-gaap--LiabilitiesCurrentAbst"/>
            <w:bookmarkEnd w:id="38"/>
          </w:p>
        </w:tc>
      </w:tr>
      <w:tr>
        <w:trPr/>
        <w:tc>
          <w:tcPr>
            <w:tcW w:w="7297"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9" w:name="xdx_40A_eus-gaap--ShortTermBorrowings_i0"/>
            <w:bookmarkEnd w:id="39"/>
          </w:p>
        </w:tc>
      </w:tr>
      <w:tr>
        <w:trPr/>
        <w:tc>
          <w:tcPr>
            <w:tcW w:w="7297" w:type="dxa"/>
            <w:tcBorders/>
            <w:shd w:fill="CCEEFF" w:val="clear"/>
            <w:vAlign w:val="center"/>
          </w:tcPr>
          <w:p>
            <w:pPr>
              <w:pStyle w:val="TableContents"/>
              <w:bidi w:val="0"/>
              <w:spacing w:before="0" w:after="283"/>
              <w:jc w:val="left"/>
              <w:rPr/>
            </w:pPr>
            <w:r>
              <w:rPr/>
              <w:t>Short-term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2,890,424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3,068,046</w:t>
            </w:r>
          </w:p>
        </w:tc>
        <w:tc>
          <w:tcPr>
            <w:tcW w:w="113" w:type="dxa"/>
            <w:tcBorders/>
            <w:shd w:fill="CCEEFF" w:val="clear"/>
            <w:vAlign w:val="center"/>
          </w:tcPr>
          <w:p>
            <w:pPr>
              <w:pStyle w:val="TableContents"/>
              <w:bidi w:val="0"/>
              <w:spacing w:before="0" w:after="283"/>
              <w:jc w:val="left"/>
              <w:rPr/>
            </w:pPr>
            <w:r>
              <w:rPr/>
              <w:t> </w:t>
            </w:r>
            <w:bookmarkStart w:id="40" w:name="xdx_40D_eus-gaap--AccountsPayableCurrent"/>
            <w:bookmarkEnd w:id="40"/>
          </w:p>
        </w:tc>
      </w:tr>
      <w:tr>
        <w:trPr/>
        <w:tc>
          <w:tcPr>
            <w:tcW w:w="7297"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8,597,561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7,532,959</w:t>
            </w:r>
          </w:p>
        </w:tc>
        <w:tc>
          <w:tcPr>
            <w:tcW w:w="113" w:type="dxa"/>
            <w:tcBorders/>
            <w:shd w:fill="FFFFFF" w:val="clear"/>
            <w:vAlign w:val="center"/>
          </w:tcPr>
          <w:p>
            <w:pPr>
              <w:pStyle w:val="TableContents"/>
              <w:bidi w:val="0"/>
              <w:spacing w:before="0" w:after="283"/>
              <w:jc w:val="left"/>
              <w:rPr/>
            </w:pPr>
            <w:r>
              <w:rPr/>
              <w:t> </w:t>
            </w:r>
            <w:bookmarkStart w:id="41" w:name="xdx_403_ecustom--AdvanceFromCustomers_i0"/>
            <w:bookmarkEnd w:id="41"/>
          </w:p>
        </w:tc>
      </w:tr>
      <w:tr>
        <w:trPr/>
        <w:tc>
          <w:tcPr>
            <w:tcW w:w="7297" w:type="dxa"/>
            <w:tcBorders/>
            <w:shd w:fill="CCEEFF" w:val="clear"/>
            <w:vAlign w:val="center"/>
          </w:tcPr>
          <w:p>
            <w:pPr>
              <w:pStyle w:val="TableContents"/>
              <w:bidi w:val="0"/>
              <w:spacing w:before="0" w:after="283"/>
              <w:jc w:val="left"/>
              <w:rPr/>
            </w:pPr>
            <w:r>
              <w:rPr/>
              <w:t>Advance from customers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1,200,778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1,280,421</w:t>
            </w:r>
          </w:p>
        </w:tc>
        <w:tc>
          <w:tcPr>
            <w:tcW w:w="113" w:type="dxa"/>
            <w:tcBorders/>
            <w:shd w:fill="CCEEFF" w:val="clear"/>
            <w:vAlign w:val="center"/>
          </w:tcPr>
          <w:p>
            <w:pPr>
              <w:pStyle w:val="TableContents"/>
              <w:bidi w:val="0"/>
              <w:spacing w:before="0" w:after="283"/>
              <w:jc w:val="left"/>
              <w:rPr/>
            </w:pPr>
            <w:r>
              <w:rPr/>
              <w:t> </w:t>
            </w:r>
            <w:bookmarkStart w:id="42" w:name="xdx_40B_eus-gaap--TaxesPayableCurrent_i0"/>
            <w:bookmarkEnd w:id="42"/>
          </w:p>
        </w:tc>
      </w:tr>
      <w:tr>
        <w:trPr/>
        <w:tc>
          <w:tcPr>
            <w:tcW w:w="7297"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4,628,938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3,781,738</w:t>
            </w:r>
          </w:p>
        </w:tc>
        <w:tc>
          <w:tcPr>
            <w:tcW w:w="113" w:type="dxa"/>
            <w:tcBorders/>
            <w:shd w:fill="FFFFFF" w:val="clear"/>
            <w:vAlign w:val="center"/>
          </w:tcPr>
          <w:p>
            <w:pPr>
              <w:pStyle w:val="TableContents"/>
              <w:bidi w:val="0"/>
              <w:spacing w:before="0" w:after="283"/>
              <w:jc w:val="left"/>
              <w:rPr/>
            </w:pPr>
            <w:r>
              <w:rPr/>
              <w:t> </w:t>
            </w:r>
            <w:bookmarkStart w:id="43" w:name="xdx_40D_eus-gaap--OtherLiabilitiesCurren"/>
            <w:bookmarkEnd w:id="43"/>
          </w:p>
        </w:tc>
      </w:tr>
      <w:tr>
        <w:trPr/>
        <w:tc>
          <w:tcPr>
            <w:tcW w:w="7297"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5,937,528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5,755,817</w:t>
            </w:r>
          </w:p>
        </w:tc>
        <w:tc>
          <w:tcPr>
            <w:tcW w:w="113" w:type="dxa"/>
            <w:tcBorders/>
            <w:shd w:fill="CCEEFF" w:val="clear"/>
            <w:vAlign w:val="center"/>
          </w:tcPr>
          <w:p>
            <w:pPr>
              <w:pStyle w:val="TableContents"/>
              <w:bidi w:val="0"/>
              <w:spacing w:before="0" w:after="283"/>
              <w:jc w:val="left"/>
              <w:rPr/>
            </w:pPr>
            <w:r>
              <w:rPr/>
              <w:t> </w:t>
            </w:r>
            <w:bookmarkStart w:id="44" w:name="xdx_409_eus-gaap--OperatingLeaseLiabilit"/>
            <w:bookmarkEnd w:id="44"/>
          </w:p>
        </w:tc>
      </w:tr>
      <w:tr>
        <w:trPr/>
        <w:tc>
          <w:tcPr>
            <w:tcW w:w="7297"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101,369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82,653</w:t>
            </w:r>
          </w:p>
        </w:tc>
        <w:tc>
          <w:tcPr>
            <w:tcW w:w="113" w:type="dxa"/>
            <w:tcBorders/>
            <w:shd w:fill="FFFFFF" w:val="clear"/>
            <w:vAlign w:val="center"/>
          </w:tcPr>
          <w:p>
            <w:pPr>
              <w:pStyle w:val="TableContents"/>
              <w:bidi w:val="0"/>
              <w:spacing w:before="0" w:after="283"/>
              <w:jc w:val="left"/>
              <w:rPr/>
            </w:pPr>
            <w:r>
              <w:rPr/>
              <w:t> </w:t>
            </w:r>
            <w:bookmarkStart w:id="45" w:name="xdx_403_eus-gaap--AccruedLiabilitiesCurr"/>
            <w:bookmarkEnd w:id="45"/>
          </w:p>
        </w:tc>
      </w:tr>
      <w:tr>
        <w:trPr/>
        <w:tc>
          <w:tcPr>
            <w:tcW w:w="7297" w:type="dxa"/>
            <w:tcBorders/>
            <w:shd w:fill="CCEEFF" w:val="clear"/>
            <w:vAlign w:val="center"/>
          </w:tcPr>
          <w:p>
            <w:pPr>
              <w:pStyle w:val="TableContents"/>
              <w:bidi w:val="0"/>
              <w:spacing w:before="0" w:after="283"/>
              <w:jc w:val="left"/>
              <w:rPr/>
            </w:pPr>
            <w:r>
              <w:rPr/>
              <w:t>Other payables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1,740,808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1,747,207</w:t>
            </w:r>
          </w:p>
        </w:tc>
        <w:tc>
          <w:tcPr>
            <w:tcW w:w="113" w:type="dxa"/>
            <w:tcBorders/>
            <w:shd w:fill="CCEEFF" w:val="clear"/>
            <w:vAlign w:val="center"/>
          </w:tcPr>
          <w:p>
            <w:pPr>
              <w:pStyle w:val="TableContents"/>
              <w:bidi w:val="0"/>
              <w:spacing w:before="0" w:after="283"/>
              <w:jc w:val="left"/>
              <w:rPr/>
            </w:pPr>
            <w:r>
              <w:rPr/>
              <w:t> </w:t>
            </w:r>
            <w:bookmarkStart w:id="46" w:name="xdx_40D_eus-gaap--LiabilitiesCurrent_i02"/>
            <w:bookmarkEnd w:id="46"/>
          </w:p>
        </w:tc>
      </w:tr>
      <w:tr>
        <w:trPr/>
        <w:tc>
          <w:tcPr>
            <w:tcW w:w="7297"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25,097,406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23,248,841</w:t>
            </w:r>
          </w:p>
        </w:tc>
        <w:tc>
          <w:tcPr>
            <w:tcW w:w="113" w:type="dxa"/>
            <w:tcBorders/>
            <w:shd w:fill="FFFFFF" w:val="clear"/>
            <w:vAlign w:val="center"/>
          </w:tcPr>
          <w:p>
            <w:pPr>
              <w:pStyle w:val="TableContents"/>
              <w:bidi w:val="0"/>
              <w:spacing w:before="0" w:after="283"/>
              <w:jc w:val="left"/>
              <w:rPr/>
            </w:pPr>
            <w:r>
              <w:rPr/>
              <w:t> </w:t>
            </w:r>
          </w:p>
        </w:tc>
      </w:tr>
      <w:tr>
        <w:trPr/>
        <w:tc>
          <w:tcPr>
            <w:tcW w:w="72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7" w:name="xdx_403_eus-gaap--LiabilitiesNoncurrentA"/>
            <w:bookmarkEnd w:id="47"/>
          </w:p>
        </w:tc>
      </w:tr>
      <w:tr>
        <w:trPr/>
        <w:tc>
          <w:tcPr>
            <w:tcW w:w="7297"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8" w:name="xdx_40C_eus-gaap--OperatingLeaseLiabilit"/>
            <w:bookmarkEnd w:id="48"/>
          </w:p>
        </w:tc>
      </w:tr>
      <w:tr>
        <w:trPr/>
        <w:tc>
          <w:tcPr>
            <w:tcW w:w="7297"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585,004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626,291</w:t>
            </w:r>
          </w:p>
        </w:tc>
        <w:tc>
          <w:tcPr>
            <w:tcW w:w="113" w:type="dxa"/>
            <w:tcBorders/>
            <w:shd w:fill="CCEEFF" w:val="clear"/>
            <w:vAlign w:val="center"/>
          </w:tcPr>
          <w:p>
            <w:pPr>
              <w:pStyle w:val="TableContents"/>
              <w:bidi w:val="0"/>
              <w:spacing w:before="0" w:after="283"/>
              <w:jc w:val="left"/>
              <w:rPr/>
            </w:pPr>
            <w:r>
              <w:rPr/>
              <w:t> </w:t>
            </w:r>
            <w:bookmarkStart w:id="49" w:name="xdx_40A_eus-gaap--LiabilitiesNoncurrent_"/>
            <w:bookmarkEnd w:id="49"/>
          </w:p>
        </w:tc>
      </w:tr>
      <w:tr>
        <w:trPr/>
        <w:tc>
          <w:tcPr>
            <w:tcW w:w="7297"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585,004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626,291</w:t>
            </w:r>
          </w:p>
        </w:tc>
        <w:tc>
          <w:tcPr>
            <w:tcW w:w="113" w:type="dxa"/>
            <w:tcBorders/>
            <w:shd w:fill="FFFFFF" w:val="clear"/>
            <w:vAlign w:val="center"/>
          </w:tcPr>
          <w:p>
            <w:pPr>
              <w:pStyle w:val="TableContents"/>
              <w:bidi w:val="0"/>
              <w:spacing w:before="0" w:after="283"/>
              <w:jc w:val="left"/>
              <w:rPr/>
            </w:pPr>
            <w:r>
              <w:rPr/>
              <w:t> </w:t>
            </w:r>
          </w:p>
        </w:tc>
      </w:tr>
      <w:tr>
        <w:trPr/>
        <w:tc>
          <w:tcPr>
            <w:tcW w:w="72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0" w:name="xdx_401_eus-gaap--Liabilities_i01TI_mtLz"/>
            <w:bookmarkEnd w:id="50"/>
          </w:p>
        </w:tc>
      </w:tr>
      <w:tr>
        <w:trPr/>
        <w:tc>
          <w:tcPr>
            <w:tcW w:w="7297"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25,682,410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23,875,132</w:t>
            </w:r>
          </w:p>
        </w:tc>
        <w:tc>
          <w:tcPr>
            <w:tcW w:w="113" w:type="dxa"/>
            <w:tcBorders/>
            <w:shd w:fill="FFFFFF" w:val="clear"/>
            <w:vAlign w:val="center"/>
          </w:tcPr>
          <w:p>
            <w:pPr>
              <w:pStyle w:val="TableContents"/>
              <w:bidi w:val="0"/>
              <w:spacing w:before="0" w:after="283"/>
              <w:jc w:val="left"/>
              <w:rPr/>
            </w:pPr>
            <w:r>
              <w:rPr/>
              <w:t> </w:t>
            </w:r>
          </w:p>
        </w:tc>
      </w:tr>
      <w:tr>
        <w:trPr/>
        <w:tc>
          <w:tcPr>
            <w:tcW w:w="72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1" w:name="xdx_404_eus-gaap--CommitmentsAndContinge"/>
            <w:bookmarkEnd w:id="51"/>
          </w:p>
        </w:tc>
      </w:tr>
      <w:tr>
        <w:trPr/>
        <w:tc>
          <w:tcPr>
            <w:tcW w:w="7297"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72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2" w:name="xdx_40C_eus-gaap--StockholdersEquityAbst"/>
            <w:bookmarkEnd w:id="52"/>
          </w:p>
        </w:tc>
      </w:tr>
      <w:tr>
        <w:trPr/>
        <w:tc>
          <w:tcPr>
            <w:tcW w:w="7297"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6_eus-gaap--CommonStockValue_i02I_"/>
            <w:bookmarkEnd w:id="53"/>
          </w:p>
        </w:tc>
      </w:tr>
      <w:tr>
        <w:trPr/>
        <w:tc>
          <w:tcPr>
            <w:tcW w:w="7297" w:type="dxa"/>
            <w:tcBorders/>
            <w:shd w:fill="CCEEFF" w:val="clear"/>
            <w:vAlign w:val="center"/>
          </w:tcPr>
          <w:p>
            <w:pPr>
              <w:pStyle w:val="TableContents"/>
              <w:bidi w:val="0"/>
              <w:spacing w:before="0" w:after="283"/>
              <w:jc w:val="left"/>
              <w:rPr/>
            </w:pPr>
            <w:r>
              <w:rPr/>
              <w:t>Ordinary shares (par value $</w:t>
            </w:r>
            <w:bookmarkStart w:id="54" w:name="xdx_90C_eus-gaap--CommonStockParOrStated"/>
            <w:bookmarkEnd w:id="54"/>
            <w:r>
              <w:rPr/>
              <w:t xml:space="preserve">0.001 per share, </w:t>
            </w:r>
            <w:bookmarkStart w:id="55" w:name="xdx_90E_eus-gaap--CommonStockSharesAutho"/>
            <w:bookmarkEnd w:id="55"/>
            <w:r>
              <w:rPr/>
              <w:t xml:space="preserve">50,000,000 shares authorized; </w:t>
            </w:r>
            <w:bookmarkStart w:id="56" w:name="xdx_905_eus-gaap--CommonStockSharesIssue"/>
            <w:bookmarkEnd w:id="56"/>
            <w:r>
              <w:rPr/>
              <w:t xml:space="preserve">17,025,000 and </w:t>
            </w:r>
            <w:bookmarkStart w:id="57" w:name="xdx_908_eus-gaap--CommonStockSharesOutst"/>
            <w:bookmarkEnd w:id="57"/>
            <w:r>
              <w:rPr/>
              <w:t>17,025,000 shares issued and outstanding as of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17,025</w:t>
            </w:r>
          </w:p>
        </w:tc>
        <w:tc>
          <w:tcPr>
            <w:tcW w:w="113" w:type="dxa"/>
            <w:tcBorders/>
            <w:shd w:fill="CCEEFF" w:val="clear"/>
            <w:vAlign w:val="center"/>
          </w:tcPr>
          <w:p>
            <w:pPr>
              <w:pStyle w:val="TableContents"/>
              <w:bidi w:val="0"/>
              <w:spacing w:before="0" w:after="283"/>
              <w:jc w:val="left"/>
              <w:rPr/>
            </w:pPr>
            <w:r>
              <w:rPr/>
              <w:t> </w:t>
            </w:r>
            <w:bookmarkStart w:id="58" w:name="xdx_40A_eus-gaap--CommonStockValue_i02I_"/>
            <w:bookmarkEnd w:id="58"/>
          </w:p>
        </w:tc>
      </w:tr>
      <w:tr>
        <w:trPr/>
        <w:tc>
          <w:tcPr>
            <w:tcW w:w="7297" w:type="dxa"/>
            <w:tcBorders/>
            <w:shd w:fill="FFFFFF" w:val="clear"/>
            <w:vAlign w:val="center"/>
          </w:tcPr>
          <w:p>
            <w:pPr>
              <w:pStyle w:val="TableContents"/>
              <w:bidi w:val="0"/>
              <w:spacing w:before="0" w:after="283"/>
              <w:jc w:val="left"/>
              <w:rPr/>
            </w:pPr>
            <w:r>
              <w:rPr/>
              <w:t>Class A Ordinary Shares (par value $</w:t>
            </w:r>
            <w:bookmarkStart w:id="59" w:name="xdx_903_eus-gaap--CommonStockParOrStated"/>
            <w:bookmarkEnd w:id="59"/>
            <w:r>
              <w:rPr/>
              <w:t xml:space="preserve">0.001 per share, </w:t>
            </w:r>
            <w:bookmarkStart w:id="60" w:name="xdx_90D_eus-gaap--CommonStockSharesAutho"/>
            <w:bookmarkEnd w:id="60"/>
            <w:r>
              <w:rPr/>
              <w:t xml:space="preserve">467,290,000 shares authorized, </w:t>
            </w:r>
            <w:bookmarkStart w:id="61" w:name="xdx_906_eus-gaap--CommonStockSharesOutst"/>
            <w:bookmarkStart w:id="62" w:name="xdx_902_eus-gaap--CommonStockSharesIssue"/>
            <w:bookmarkEnd w:id="61"/>
            <w:bookmarkEnd w:id="62"/>
            <w:r>
              <w:rPr/>
              <w:t>4,315,000 shares issued and outstanding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63" w:name="xdx_407_eus-gaap--CommonStockValue_i02I_"/>
            <w:bookmarkEnd w:id="63"/>
          </w:p>
        </w:tc>
      </w:tr>
      <w:tr>
        <w:trPr/>
        <w:tc>
          <w:tcPr>
            <w:tcW w:w="7297" w:type="dxa"/>
            <w:tcBorders/>
            <w:shd w:fill="CCEEFF" w:val="clear"/>
            <w:vAlign w:val="center"/>
          </w:tcPr>
          <w:p>
            <w:pPr>
              <w:pStyle w:val="TableContents"/>
              <w:bidi w:val="0"/>
              <w:spacing w:before="0" w:after="283"/>
              <w:jc w:val="left"/>
              <w:rPr/>
            </w:pPr>
            <w:r>
              <w:rPr/>
              <w:t>Class B Ordinary Shares (par value $</w:t>
            </w:r>
            <w:bookmarkStart w:id="64" w:name="xdx_90C_eus-gaap--CommonStockParOrStated"/>
            <w:bookmarkEnd w:id="64"/>
            <w:r>
              <w:rPr/>
              <w:t xml:space="preserve">0.001 per share, </w:t>
            </w:r>
            <w:bookmarkStart w:id="65" w:name="xdx_908_eus-gaap--CommonStockSharesAutho"/>
            <w:bookmarkEnd w:id="65"/>
            <w:r>
              <w:rPr/>
              <w:t xml:space="preserve">32,710,000 shares authorized, </w:t>
            </w:r>
            <w:bookmarkStart w:id="66" w:name="xdx_90A_eus-gaap--CommonStockSharesOutst"/>
            <w:bookmarkStart w:id="67" w:name="xdx_904_eus-gaap--CommonStockSharesIssue"/>
            <w:bookmarkEnd w:id="66"/>
            <w:bookmarkEnd w:id="67"/>
            <w:r>
              <w:rPr/>
              <w:t>12,710,000 shares issued and outstanding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12,710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68" w:name="xdx_406_eus-gaap--CommonStockValue_i02I_"/>
            <w:bookmarkEnd w:id="68"/>
          </w:p>
        </w:tc>
      </w:tr>
      <w:tr>
        <w:trPr/>
        <w:tc>
          <w:tcPr>
            <w:tcW w:w="7297" w:type="dxa"/>
            <w:tcBorders/>
            <w:shd w:fill="CCEEFF" w:val="clear"/>
            <w:vAlign w:val="center"/>
          </w:tcPr>
          <w:p>
            <w:pPr>
              <w:pStyle w:val="TableContents"/>
              <w:bidi w:val="0"/>
              <w:spacing w:before="0" w:after="283"/>
              <w:jc w:val="left"/>
              <w:rPr/>
            </w:pPr>
            <w:r>
              <w:rPr/>
              <w:t>Ordinary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12,710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69" w:name="xdx_401_eus-gaap--CommonStockShareSubscr"/>
            <w:bookmarkEnd w:id="69"/>
          </w:p>
        </w:tc>
      </w:tr>
      <w:tr>
        <w:trPr/>
        <w:tc>
          <w:tcPr>
            <w:tcW w:w="7297" w:type="dxa"/>
            <w:tcBorders/>
            <w:shd w:fill="FFFFFF" w:val="clear"/>
            <w:vAlign w:val="center"/>
          </w:tcPr>
          <w:p>
            <w:pPr>
              <w:pStyle w:val="TableContents"/>
              <w:bidi w:val="0"/>
              <w:spacing w:before="0" w:after="283"/>
              <w:jc w:val="left"/>
              <w:rPr/>
            </w:pPr>
            <w:r>
              <w:rPr/>
              <w:t>Subscription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(15,500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(15,500</w:t>
            </w:r>
          </w:p>
        </w:tc>
        <w:tc>
          <w:tcPr>
            <w:tcW w:w="113" w:type="dxa"/>
            <w:tcBorders/>
            <w:shd w:fill="FFFFFF" w:val="clear"/>
            <w:vAlign w:val="center"/>
          </w:tcPr>
          <w:p>
            <w:pPr>
              <w:pStyle w:val="TableContents"/>
              <w:bidi w:val="0"/>
              <w:spacing w:before="0" w:after="283"/>
              <w:jc w:val="left"/>
              <w:rPr/>
            </w:pPr>
            <w:r>
              <w:rPr/>
              <w:t>)</w:t>
            </w:r>
            <w:bookmarkStart w:id="70" w:name="xdx_40B_eus-gaap--AdditionalPaidInCapita"/>
            <w:bookmarkEnd w:id="70"/>
          </w:p>
        </w:tc>
      </w:tr>
      <w:tr>
        <w:trPr/>
        <w:tc>
          <w:tcPr>
            <w:tcW w:w="729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6,526,821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6,544,298</w:t>
            </w:r>
          </w:p>
        </w:tc>
        <w:tc>
          <w:tcPr>
            <w:tcW w:w="113" w:type="dxa"/>
            <w:tcBorders/>
            <w:shd w:fill="CCEEFF" w:val="clear"/>
            <w:vAlign w:val="center"/>
          </w:tcPr>
          <w:p>
            <w:pPr>
              <w:pStyle w:val="TableContents"/>
              <w:bidi w:val="0"/>
              <w:spacing w:before="0" w:after="283"/>
              <w:jc w:val="left"/>
              <w:rPr/>
            </w:pPr>
            <w:r>
              <w:rPr/>
              <w:t> </w:t>
            </w:r>
            <w:bookmarkStart w:id="71" w:name="xdx_408_ecustom--StatutoryReserve_i02I_m"/>
            <w:bookmarkEnd w:id="71"/>
          </w:p>
        </w:tc>
      </w:tr>
      <w:tr>
        <w:trPr/>
        <w:tc>
          <w:tcPr>
            <w:tcW w:w="7297"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2,592,642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2,076,469</w:t>
            </w:r>
          </w:p>
        </w:tc>
        <w:tc>
          <w:tcPr>
            <w:tcW w:w="113" w:type="dxa"/>
            <w:tcBorders/>
            <w:shd w:fill="FFFFFF" w:val="clear"/>
            <w:vAlign w:val="center"/>
          </w:tcPr>
          <w:p>
            <w:pPr>
              <w:pStyle w:val="TableContents"/>
              <w:bidi w:val="0"/>
              <w:spacing w:before="0" w:after="283"/>
              <w:jc w:val="left"/>
              <w:rPr/>
            </w:pPr>
            <w:r>
              <w:rPr/>
              <w:t> </w:t>
            </w:r>
            <w:bookmarkStart w:id="72" w:name="xdx_401_eus-gaap--RetainedEarningsAccumu"/>
            <w:bookmarkEnd w:id="72"/>
          </w:p>
        </w:tc>
      </w:tr>
      <w:tr>
        <w:trPr/>
        <w:tc>
          <w:tcPr>
            <w:tcW w:w="7297"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35,784,864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38,207,918</w:t>
            </w:r>
          </w:p>
        </w:tc>
        <w:tc>
          <w:tcPr>
            <w:tcW w:w="113" w:type="dxa"/>
            <w:tcBorders/>
            <w:shd w:fill="CCEEFF" w:val="clear"/>
            <w:vAlign w:val="center"/>
          </w:tcPr>
          <w:p>
            <w:pPr>
              <w:pStyle w:val="TableContents"/>
              <w:bidi w:val="0"/>
              <w:spacing w:before="0" w:after="283"/>
              <w:jc w:val="left"/>
              <w:rPr/>
            </w:pPr>
            <w:r>
              <w:rPr/>
              <w:t> </w:t>
            </w:r>
            <w:bookmarkStart w:id="73" w:name="xdx_405_eus-gaap--AccumulatedOtherCompre"/>
            <w:bookmarkEnd w:id="73"/>
          </w:p>
        </w:tc>
      </w:tr>
      <w:tr>
        <w:trPr/>
        <w:tc>
          <w:tcPr>
            <w:tcW w:w="729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(329,707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pPr>
            <w:r>
              <w:rPr/>
              <w:t>(1,397,475</w:t>
            </w:r>
          </w:p>
        </w:tc>
        <w:tc>
          <w:tcPr>
            <w:tcW w:w="113" w:type="dxa"/>
            <w:tcBorders/>
            <w:shd w:fill="FFFFFF" w:val="clear"/>
            <w:vAlign w:val="center"/>
          </w:tcPr>
          <w:p>
            <w:pPr>
              <w:pStyle w:val="TableContents"/>
              <w:bidi w:val="0"/>
              <w:spacing w:before="0" w:after="283"/>
              <w:jc w:val="left"/>
              <w:rPr/>
            </w:pPr>
            <w:r>
              <w:rPr/>
              <w:t>)</w:t>
            </w:r>
            <w:bookmarkStart w:id="74" w:name="xdx_405_eus-gaap--StockholdersEquity_i02"/>
            <w:bookmarkEnd w:id="74"/>
          </w:p>
        </w:tc>
      </w:tr>
      <w:tr>
        <w:trPr/>
        <w:tc>
          <w:tcPr>
            <w:tcW w:w="7297" w:type="dxa"/>
            <w:tcBorders/>
            <w:shd w:fill="CCEEFF" w:val="clear"/>
            <w:vAlign w:val="center"/>
          </w:tcPr>
          <w:p>
            <w:pPr>
              <w:pStyle w:val="TableContents"/>
              <w:bidi w:val="0"/>
              <w:spacing w:before="0" w:after="283"/>
              <w:jc w:val="left"/>
              <w:rPr>
                <w:b/>
              </w:rPr>
            </w:pPr>
            <w:r>
              <w:rPr>
                <w:b/>
              </w:rPr>
              <w:t>Total equity attributable to Leishen Energy Holding Co., Ltd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b/>
              </w:rPr>
            </w:pPr>
            <w:r>
              <w:rPr>
                <w:b/>
              </w:rPr>
              <w:t>44,576,145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b/>
              </w:rPr>
            </w:pPr>
            <w:r>
              <w:rPr>
                <w:b/>
              </w:rPr>
              <w:t>45,432,735</w:t>
            </w:r>
          </w:p>
        </w:tc>
        <w:tc>
          <w:tcPr>
            <w:tcW w:w="113" w:type="dxa"/>
            <w:tcBorders/>
            <w:shd w:fill="CCEEFF" w:val="clear"/>
            <w:vAlign w:val="center"/>
          </w:tcPr>
          <w:p>
            <w:pPr>
              <w:pStyle w:val="TableContents"/>
              <w:bidi w:val="0"/>
              <w:spacing w:before="0" w:after="283"/>
              <w:jc w:val="left"/>
              <w:rPr/>
            </w:pPr>
            <w:r>
              <w:rPr/>
              <w:t> </w:t>
            </w:r>
            <w:bookmarkStart w:id="75" w:name="xdx_40E_eus-gaap--MinorityInterest_i02I_"/>
            <w:bookmarkEnd w:id="75"/>
          </w:p>
        </w:tc>
      </w:tr>
      <w:tr>
        <w:trPr/>
        <w:tc>
          <w:tcPr>
            <w:tcW w:w="7297"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24,765</w:t>
            </w:r>
          </w:p>
        </w:tc>
        <w:tc>
          <w:tcPr>
            <w:tcW w:w="113" w:type="dxa"/>
            <w:tcBorders/>
            <w:shd w:fill="FFFFFF" w:val="clear"/>
            <w:vAlign w:val="center"/>
          </w:tcPr>
          <w:p>
            <w:pPr>
              <w:pStyle w:val="TableContents"/>
              <w:bidi w:val="0"/>
              <w:spacing w:before="0" w:after="283"/>
              <w:jc w:val="left"/>
              <w:rPr/>
            </w:pPr>
            <w:r>
              <w:rPr/>
              <w:t> </w:t>
            </w:r>
            <w:bookmarkStart w:id="76" w:name="xdx_40D_eus-gaap--StockholdersEquityIncl"/>
            <w:bookmarkEnd w:id="76"/>
          </w:p>
        </w:tc>
      </w:tr>
      <w:tr>
        <w:trPr/>
        <w:tc>
          <w:tcPr>
            <w:tcW w:w="7297"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44,576,145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45,457,500</w:t>
            </w:r>
          </w:p>
        </w:tc>
        <w:tc>
          <w:tcPr>
            <w:tcW w:w="113" w:type="dxa"/>
            <w:tcBorders/>
            <w:shd w:fill="CCEEFF" w:val="clear"/>
            <w:vAlign w:val="center"/>
          </w:tcPr>
          <w:p>
            <w:pPr>
              <w:pStyle w:val="TableContents"/>
              <w:bidi w:val="0"/>
              <w:spacing w:before="0" w:after="283"/>
              <w:jc w:val="left"/>
              <w:rPr/>
            </w:pPr>
            <w:r>
              <w:rPr/>
              <w:t> </w:t>
            </w:r>
          </w:p>
        </w:tc>
      </w:tr>
      <w:tr>
        <w:trPr/>
        <w:tc>
          <w:tcPr>
            <w:tcW w:w="72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7" w:name="xdx_401_eus-gaap--LiabilitiesAndStockhol"/>
            <w:bookmarkEnd w:id="77"/>
          </w:p>
        </w:tc>
      </w:tr>
      <w:tr>
        <w:trPr/>
        <w:tc>
          <w:tcPr>
            <w:tcW w:w="7297"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70,258,555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69,332,632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8" w:name="Y-002"/>
      <w:bookmarkEnd w:id="78"/>
      <w:r>
        <w:rPr>
          <w:rFonts w:ascii="Times New Roman;Times;Serif" w:hAnsi="Times New Roman;Times;Serif"/>
          <w:b/>
          <w:i w:val="false"/>
          <w:caps w:val="false"/>
          <w:smallCaps w:val="false"/>
          <w:sz w:val="20"/>
        </w:rPr>
        <w:t>LEISHEN ENERGY HOLDING CO., LTD.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 w:name="xdx_306_113_z4KtKoZdi49l"/>
      <w:bookmarkStart w:id="80" w:name="xdx_306_113_z4KtKoZdi49l"/>
      <w:bookmarkEnd w:id="80"/>
    </w:p>
    <w:tbl>
      <w:tblPr>
        <w:tblW w:w="10198" w:type="dxa"/>
        <w:jc w:val="left"/>
        <w:tblInd w:w="0" w:type="dxa"/>
        <w:tblLayout w:type="fixed"/>
        <w:tblCellMar>
          <w:top w:w="0" w:type="dxa"/>
          <w:left w:w="0" w:type="dxa"/>
          <w:bottom w:w="0" w:type="dxa"/>
          <w:right w:w="0" w:type="dxa"/>
        </w:tblCellMar>
      </w:tblPr>
      <w:tblGrid>
        <w:gridCol w:w="7010"/>
        <w:gridCol w:w="60"/>
        <w:gridCol w:w="151"/>
        <w:gridCol w:w="1274"/>
        <w:gridCol w:w="103"/>
        <w:gridCol w:w="65"/>
        <w:gridCol w:w="151"/>
        <w:gridCol w:w="1274"/>
        <w:gridCol w:w="110"/>
      </w:tblGrid>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1" w:name="xdx_498_20251001__20260331_zFMmSFpDFIvc"/>
            <w:bookmarkEnd w:id="81"/>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82" w:name="xdx_49C_20241001__20250331_ziZP67neHzId"/>
            <w:bookmarkEnd w:id="82"/>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center"/>
              <w:rPr>
                <w:b/>
              </w:rPr>
            </w:pPr>
            <w:r>
              <w:rPr>
                <w:b/>
              </w:rPr>
              <w:t>(Unaudited)</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425"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83" w:name="xdx_407_eus-gaap--RevenuesAbstract_iB_zc"/>
            <w:bookmarkEnd w:id="83"/>
          </w:p>
        </w:tc>
      </w:tr>
      <w:tr>
        <w:trPr/>
        <w:tc>
          <w:tcPr>
            <w:tcW w:w="701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4" w:name="xdx_40B_eus-gaap--RevenueFromContractWit"/>
            <w:bookmarkEnd w:id="84"/>
          </w:p>
        </w:tc>
      </w:tr>
      <w:tr>
        <w:trPr/>
        <w:tc>
          <w:tcPr>
            <w:tcW w:w="7010" w:type="dxa"/>
            <w:tcBorders/>
            <w:shd w:fill="FFFFFF" w:val="clear"/>
            <w:vAlign w:val="center"/>
          </w:tcPr>
          <w:p>
            <w:pPr>
              <w:pStyle w:val="TableContents"/>
              <w:bidi w:val="0"/>
              <w:spacing w:before="0" w:after="283"/>
              <w:jc w:val="left"/>
              <w:rPr/>
            </w:pPr>
            <w:r>
              <w:rPr/>
              <w:t>Revenues - third parties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20,978,428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25,199,614</w:t>
            </w:r>
          </w:p>
        </w:tc>
        <w:tc>
          <w:tcPr>
            <w:tcW w:w="110" w:type="dxa"/>
            <w:tcBorders/>
            <w:shd w:fill="FFFFFF" w:val="clear"/>
            <w:vAlign w:val="center"/>
          </w:tcPr>
          <w:p>
            <w:pPr>
              <w:pStyle w:val="TableContents"/>
              <w:bidi w:val="0"/>
              <w:spacing w:before="0" w:after="283"/>
              <w:jc w:val="left"/>
              <w:rPr/>
            </w:pPr>
            <w:r>
              <w:rPr/>
              <w:t> </w:t>
            </w:r>
            <w:bookmarkStart w:id="85" w:name="xdx_40E_eus-gaap--RevenueFromContractWit"/>
            <w:bookmarkEnd w:id="85"/>
          </w:p>
        </w:tc>
      </w:tr>
      <w:tr>
        <w:trPr/>
        <w:tc>
          <w:tcPr>
            <w:tcW w:w="7010" w:type="dxa"/>
            <w:tcBorders/>
            <w:shd w:fill="CCEEFF" w:val="clear"/>
            <w:vAlign w:val="center"/>
          </w:tcPr>
          <w:p>
            <w:pPr>
              <w:pStyle w:val="TableContents"/>
              <w:bidi w:val="0"/>
              <w:spacing w:before="0" w:after="283"/>
              <w:jc w:val="left"/>
              <w:rPr/>
            </w:pPr>
            <w:r>
              <w:rPr/>
              <w:t>Revenues - related parties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2,995,670</w:t>
            </w:r>
          </w:p>
        </w:tc>
        <w:tc>
          <w:tcPr>
            <w:tcW w:w="110" w:type="dxa"/>
            <w:tcBorders/>
            <w:shd w:fill="CCEEFF" w:val="clear"/>
            <w:vAlign w:val="center"/>
          </w:tcPr>
          <w:p>
            <w:pPr>
              <w:pStyle w:val="TableContents"/>
              <w:bidi w:val="0"/>
              <w:spacing w:before="0" w:after="283"/>
              <w:jc w:val="left"/>
              <w:rPr/>
            </w:pPr>
            <w:r>
              <w:rPr/>
              <w:t> </w:t>
            </w:r>
            <w:bookmarkStart w:id="86" w:name="xdx_407_eus-gaap--RevenueFromContractWit"/>
            <w:bookmarkEnd w:id="86"/>
          </w:p>
        </w:tc>
      </w:tr>
      <w:tr>
        <w:trPr/>
        <w:tc>
          <w:tcPr>
            <w:tcW w:w="7010" w:type="dxa"/>
            <w:tcBorders/>
            <w:shd w:fill="FFFFFF" w:val="clear"/>
            <w:vAlign w:val="center"/>
          </w:tcPr>
          <w:p>
            <w:pPr>
              <w:pStyle w:val="TableContents"/>
              <w:bidi w:val="0"/>
              <w:spacing w:before="0" w:after="283"/>
              <w:jc w:val="left"/>
              <w:rPr/>
            </w:pPr>
            <w:r>
              <w:rPr/>
              <w:t>Total revenues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20,978,428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28,195,284</w:t>
            </w:r>
          </w:p>
        </w:tc>
        <w:tc>
          <w:tcPr>
            <w:tcW w:w="110" w:type="dxa"/>
            <w:tcBorders/>
            <w:shd w:fill="FFFFFF" w:val="clear"/>
            <w:vAlign w:val="center"/>
          </w:tcPr>
          <w:p>
            <w:pPr>
              <w:pStyle w:val="TableContents"/>
              <w:bidi w:val="0"/>
              <w:spacing w:before="0" w:after="283"/>
              <w:jc w:val="left"/>
              <w:rPr/>
            </w:pPr>
            <w:r>
              <w:rPr/>
              <w:t> </w:t>
            </w:r>
            <w:bookmarkStart w:id="87" w:name="xdx_401_eus-gaap--CostOfRevenue_i01N_di_"/>
            <w:bookmarkEnd w:id="87"/>
          </w:p>
        </w:tc>
      </w:tr>
      <w:tr>
        <w:trPr/>
        <w:tc>
          <w:tcPr>
            <w:tcW w:w="7010"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(15,753,600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(23,256,253</w:t>
            </w:r>
          </w:p>
        </w:tc>
        <w:tc>
          <w:tcPr>
            <w:tcW w:w="110" w:type="dxa"/>
            <w:tcBorders/>
            <w:shd w:fill="CCEEFF" w:val="clear"/>
            <w:vAlign w:val="center"/>
          </w:tcPr>
          <w:p>
            <w:pPr>
              <w:pStyle w:val="TableContents"/>
              <w:bidi w:val="0"/>
              <w:spacing w:before="0" w:after="283"/>
              <w:jc w:val="left"/>
              <w:rPr/>
            </w:pPr>
            <w:r>
              <w:rPr/>
              <w:t>)</w:t>
            </w:r>
            <w:bookmarkStart w:id="88" w:name="xdx_406_eus-gaap--GrossProfit_iT_mtGPzbJ"/>
            <w:bookmarkEnd w:id="88"/>
          </w:p>
        </w:tc>
      </w:tr>
      <w:tr>
        <w:trPr/>
        <w:tc>
          <w:tcPr>
            <w:tcW w:w="7010" w:type="dxa"/>
            <w:tcBorders/>
            <w:shd w:fill="FFFFFF" w:val="clear"/>
            <w:vAlign w:val="center"/>
          </w:tcPr>
          <w:p>
            <w:pPr>
              <w:pStyle w:val="TableContents"/>
              <w:bidi w:val="0"/>
              <w:spacing w:before="0" w:after="283"/>
              <w:jc w:val="left"/>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5,224,828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4,939,031</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9" w:name="xdx_40A_eus-gaap--OperatingExpensesAbstr"/>
            <w:bookmarkEnd w:id="89"/>
          </w:p>
        </w:tc>
      </w:tr>
      <w:tr>
        <w:trPr/>
        <w:tc>
          <w:tcPr>
            <w:tcW w:w="701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 w:name="xdx_404_eus-gaap--SellingAndMarketingExp"/>
            <w:bookmarkEnd w:id="90"/>
          </w:p>
        </w:tc>
      </w:tr>
      <w:tr>
        <w:trPr/>
        <w:tc>
          <w:tcPr>
            <w:tcW w:w="701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1,535,890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635,306</w:t>
            </w:r>
          </w:p>
        </w:tc>
        <w:tc>
          <w:tcPr>
            <w:tcW w:w="110" w:type="dxa"/>
            <w:tcBorders/>
            <w:shd w:fill="CCEEFF" w:val="clear"/>
            <w:vAlign w:val="center"/>
          </w:tcPr>
          <w:p>
            <w:pPr>
              <w:pStyle w:val="TableContents"/>
              <w:bidi w:val="0"/>
              <w:spacing w:before="0" w:after="283"/>
              <w:jc w:val="left"/>
              <w:rPr/>
            </w:pPr>
            <w:r>
              <w:rPr/>
              <w:t> </w:t>
            </w:r>
            <w:bookmarkStart w:id="91" w:name="xdx_40A_eus-gaap--GeneralAndAdministrati"/>
            <w:bookmarkEnd w:id="91"/>
          </w:p>
        </w:tc>
      </w:tr>
      <w:tr>
        <w:trPr/>
        <w:tc>
          <w:tcPr>
            <w:tcW w:w="701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2,133,900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3,045,282</w:t>
            </w:r>
          </w:p>
        </w:tc>
        <w:tc>
          <w:tcPr>
            <w:tcW w:w="110" w:type="dxa"/>
            <w:tcBorders/>
            <w:shd w:fill="FFFFFF" w:val="clear"/>
            <w:vAlign w:val="center"/>
          </w:tcPr>
          <w:p>
            <w:pPr>
              <w:pStyle w:val="TableContents"/>
              <w:bidi w:val="0"/>
              <w:spacing w:before="0" w:after="283"/>
              <w:jc w:val="left"/>
              <w:rPr/>
            </w:pPr>
            <w:r>
              <w:rPr/>
              <w:t> </w:t>
            </w:r>
            <w:bookmarkStart w:id="92" w:name="xdx_401_eus-gaap--ProvisionForDoubtfulAc"/>
            <w:bookmarkEnd w:id="92"/>
          </w:p>
        </w:tc>
      </w:tr>
      <w:tr>
        <w:trPr/>
        <w:tc>
          <w:tcPr>
            <w:tcW w:w="7010" w:type="dxa"/>
            <w:tcBorders/>
            <w:shd w:fill="CCEEFF" w:val="clear"/>
            <w:vAlign w:val="center"/>
          </w:tcPr>
          <w:p>
            <w:pPr>
              <w:pStyle w:val="TableContents"/>
              <w:bidi w:val="0"/>
              <w:spacing w:before="0" w:after="283"/>
              <w:jc w:val="left"/>
              <w:rPr/>
            </w:pPr>
            <w:r>
              <w:rPr/>
              <w:t>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2,145,919</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3,317,683</w:t>
            </w:r>
          </w:p>
        </w:tc>
        <w:tc>
          <w:tcPr>
            <w:tcW w:w="110" w:type="dxa"/>
            <w:tcBorders/>
            <w:shd w:fill="CCEEFF" w:val="clear"/>
            <w:vAlign w:val="center"/>
          </w:tcPr>
          <w:p>
            <w:pPr>
              <w:pStyle w:val="TableContents"/>
              <w:bidi w:val="0"/>
              <w:spacing w:before="0" w:after="283"/>
              <w:jc w:val="left"/>
              <w:rPr/>
            </w:pPr>
            <w:r>
              <w:rPr/>
              <w:t> </w:t>
            </w:r>
            <w:bookmarkStart w:id="93" w:name="xdx_40C_eus-gaap--ResearchAndDevelopment"/>
            <w:bookmarkEnd w:id="93"/>
          </w:p>
        </w:tc>
      </w:tr>
      <w:tr>
        <w:trPr/>
        <w:tc>
          <w:tcPr>
            <w:tcW w:w="70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97,448</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163,008</w:t>
            </w:r>
          </w:p>
        </w:tc>
        <w:tc>
          <w:tcPr>
            <w:tcW w:w="110" w:type="dxa"/>
            <w:tcBorders/>
            <w:shd w:fill="FFFFFF" w:val="clear"/>
            <w:vAlign w:val="center"/>
          </w:tcPr>
          <w:p>
            <w:pPr>
              <w:pStyle w:val="TableContents"/>
              <w:bidi w:val="0"/>
              <w:spacing w:before="0" w:after="283"/>
              <w:jc w:val="left"/>
              <w:rPr/>
            </w:pPr>
            <w:r>
              <w:rPr/>
              <w:t> </w:t>
            </w:r>
            <w:bookmarkStart w:id="94" w:name="xdx_40C_eus-gaap--OperatingExpenses_i01T"/>
            <w:bookmarkEnd w:id="94"/>
          </w:p>
        </w:tc>
      </w:tr>
      <w:tr>
        <w:trPr/>
        <w:tc>
          <w:tcPr>
            <w:tcW w:w="70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5,913,157</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7,161,279</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 w:name="xdx_40B_eus-gaap--OperatingIncomeLoss_iT"/>
            <w:bookmarkEnd w:id="95"/>
          </w:p>
        </w:tc>
      </w:tr>
      <w:tr>
        <w:trPr/>
        <w:tc>
          <w:tcPr>
            <w:tcW w:w="701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(688,329</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(2,222,248</w:t>
            </w:r>
          </w:p>
        </w:tc>
        <w:tc>
          <w:tcPr>
            <w:tcW w:w="110" w:type="dxa"/>
            <w:tcBorders/>
            <w:shd w:fill="CCEEFF" w:val="clear"/>
            <w:vAlign w:val="center"/>
          </w:tcPr>
          <w:p>
            <w:pPr>
              <w:pStyle w:val="TableContents"/>
              <w:bidi w:val="0"/>
              <w:spacing w:before="0" w:after="283"/>
              <w:jc w:val="left"/>
              <w:rPr>
                <w:b/>
              </w:rPr>
            </w:pPr>
            <w:r>
              <w:rPr>
                <w:b/>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6" w:name="xdx_40C_eus-gaap--NonoperatingIncomeExpe"/>
            <w:bookmarkEnd w:id="96"/>
          </w:p>
        </w:tc>
      </w:tr>
      <w:tr>
        <w:trPr/>
        <w:tc>
          <w:tcPr>
            <w:tcW w:w="7010" w:type="dxa"/>
            <w:tcBorders/>
            <w:shd w:fill="CCEEFF" w:val="clear"/>
            <w:vAlign w:val="center"/>
          </w:tcPr>
          <w:p>
            <w:pPr>
              <w:pStyle w:val="TableContents"/>
              <w:bidi w:val="0"/>
              <w:spacing w:before="0" w:after="283"/>
              <w:jc w:val="left"/>
              <w:rPr>
                <w:b/>
              </w:rPr>
            </w:pPr>
            <w:r>
              <w:rPr>
                <w:b/>
              </w:rPr>
              <w:t>Other (expenses) income: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7" w:name="xdx_409_eus-gaap--InterestExpenseNonoper"/>
            <w:bookmarkEnd w:id="97"/>
          </w:p>
        </w:tc>
      </w:tr>
      <w:tr>
        <w:trPr/>
        <w:tc>
          <w:tcPr>
            <w:tcW w:w="701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(36,080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(20,035</w:t>
            </w:r>
          </w:p>
        </w:tc>
        <w:tc>
          <w:tcPr>
            <w:tcW w:w="110" w:type="dxa"/>
            <w:tcBorders/>
            <w:shd w:fill="FFFFFF" w:val="clear"/>
            <w:vAlign w:val="center"/>
          </w:tcPr>
          <w:p>
            <w:pPr>
              <w:pStyle w:val="TableContents"/>
              <w:bidi w:val="0"/>
              <w:spacing w:before="0" w:after="283"/>
              <w:jc w:val="left"/>
              <w:rPr/>
            </w:pPr>
            <w:r>
              <w:rPr/>
              <w:t>)</w:t>
            </w:r>
            <w:bookmarkStart w:id="98" w:name="xdx_40C_eus-gaap--ForeignCurrencyTransac"/>
            <w:bookmarkEnd w:id="98"/>
          </w:p>
        </w:tc>
      </w:tr>
      <w:tr>
        <w:trPr/>
        <w:tc>
          <w:tcPr>
            <w:tcW w:w="7010" w:type="dxa"/>
            <w:tcBorders/>
            <w:shd w:fill="CCEEFF" w:val="clear"/>
            <w:vAlign w:val="center"/>
          </w:tcPr>
          <w:p>
            <w:pPr>
              <w:pStyle w:val="TableContents"/>
              <w:bidi w:val="0"/>
              <w:spacing w:before="0" w:after="283"/>
              <w:jc w:val="left"/>
              <w:rPr/>
            </w:pPr>
            <w:r>
              <w:rPr/>
              <w:t>Exchange (loss) gains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(167,571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45,795</w:t>
            </w:r>
          </w:p>
        </w:tc>
        <w:tc>
          <w:tcPr>
            <w:tcW w:w="110" w:type="dxa"/>
            <w:tcBorders/>
            <w:shd w:fill="CCEEFF" w:val="clear"/>
            <w:vAlign w:val="center"/>
          </w:tcPr>
          <w:p>
            <w:pPr>
              <w:pStyle w:val="TableContents"/>
              <w:bidi w:val="0"/>
              <w:spacing w:before="0" w:after="283"/>
              <w:jc w:val="left"/>
              <w:rPr/>
            </w:pPr>
            <w:r>
              <w:rPr/>
              <w:t> </w:t>
            </w:r>
            <w:bookmarkStart w:id="99" w:name="xdx_40A_eus-gaap--IncomeLossFromEquityMe"/>
            <w:bookmarkEnd w:id="99"/>
          </w:p>
        </w:tc>
      </w:tr>
      <w:tr>
        <w:trPr/>
        <w:tc>
          <w:tcPr>
            <w:tcW w:w="7010" w:type="dxa"/>
            <w:tcBorders/>
            <w:shd w:fill="FFFFFF" w:val="clear"/>
            <w:vAlign w:val="center"/>
          </w:tcPr>
          <w:p>
            <w:pPr>
              <w:pStyle w:val="TableContents"/>
              <w:bidi w:val="0"/>
              <w:spacing w:before="0" w:after="283"/>
              <w:jc w:val="left"/>
              <w:rPr/>
            </w:pPr>
            <w:r>
              <w:rPr/>
              <w:t>Income from equity investment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171,368</w:t>
            </w:r>
          </w:p>
        </w:tc>
        <w:tc>
          <w:tcPr>
            <w:tcW w:w="110" w:type="dxa"/>
            <w:tcBorders/>
            <w:shd w:fill="FFFFFF" w:val="clear"/>
            <w:vAlign w:val="center"/>
          </w:tcPr>
          <w:p>
            <w:pPr>
              <w:pStyle w:val="TableContents"/>
              <w:bidi w:val="0"/>
              <w:spacing w:before="0" w:after="283"/>
              <w:jc w:val="left"/>
              <w:rPr/>
            </w:pPr>
            <w:r>
              <w:rPr/>
              <w:t> </w:t>
            </w:r>
            <w:bookmarkStart w:id="100" w:name="xdx_40E_ecustom--NetInvestmentLossGainFr"/>
            <w:bookmarkEnd w:id="100"/>
          </w:p>
        </w:tc>
      </w:tr>
      <w:tr>
        <w:trPr/>
        <w:tc>
          <w:tcPr>
            <w:tcW w:w="7010" w:type="dxa"/>
            <w:tcBorders/>
            <w:shd w:fill="CCEEFF" w:val="clear"/>
            <w:vAlign w:val="center"/>
          </w:tcPr>
          <w:p>
            <w:pPr>
              <w:pStyle w:val="TableContents"/>
              <w:bidi w:val="0"/>
              <w:spacing w:before="0" w:after="283"/>
              <w:jc w:val="left"/>
              <w:rPr/>
            </w:pPr>
            <w:r>
              <w:rPr/>
              <w:t>Net investment (loss) gain from short-term investments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(1,064,172</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826,153</w:t>
            </w:r>
          </w:p>
        </w:tc>
        <w:tc>
          <w:tcPr>
            <w:tcW w:w="110" w:type="dxa"/>
            <w:tcBorders/>
            <w:shd w:fill="CCEEFF" w:val="clear"/>
            <w:vAlign w:val="center"/>
          </w:tcPr>
          <w:p>
            <w:pPr>
              <w:pStyle w:val="TableContents"/>
              <w:bidi w:val="0"/>
              <w:spacing w:before="0" w:after="283"/>
              <w:jc w:val="left"/>
              <w:rPr/>
            </w:pPr>
            <w:r>
              <w:rPr/>
              <w:t> </w:t>
            </w:r>
            <w:bookmarkStart w:id="101" w:name="xdx_40C_ecustom--InterestIncomeFromLoanR"/>
            <w:bookmarkEnd w:id="101"/>
          </w:p>
        </w:tc>
      </w:tr>
      <w:tr>
        <w:trPr/>
        <w:tc>
          <w:tcPr>
            <w:tcW w:w="7010" w:type="dxa"/>
            <w:tcBorders/>
            <w:shd w:fill="FFFFFF" w:val="clear"/>
            <w:vAlign w:val="center"/>
          </w:tcPr>
          <w:p>
            <w:pPr>
              <w:pStyle w:val="TableContents"/>
              <w:bidi w:val="0"/>
              <w:spacing w:before="0" w:after="283"/>
              <w:jc w:val="left"/>
              <w:rPr/>
            </w:pPr>
            <w:r>
              <w:rPr/>
              <w:t>Interest income from loans receivable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93,183</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50,805</w:t>
            </w:r>
          </w:p>
        </w:tc>
        <w:tc>
          <w:tcPr>
            <w:tcW w:w="110" w:type="dxa"/>
            <w:tcBorders/>
            <w:shd w:fill="FFFFFF" w:val="clear"/>
            <w:vAlign w:val="center"/>
          </w:tcPr>
          <w:p>
            <w:pPr>
              <w:pStyle w:val="TableContents"/>
              <w:bidi w:val="0"/>
              <w:spacing w:before="0" w:after="283"/>
              <w:jc w:val="left"/>
              <w:rPr/>
            </w:pPr>
            <w:r>
              <w:rPr/>
              <w:t> </w:t>
            </w:r>
            <w:bookmarkStart w:id="102" w:name="xdx_407_eus-gaap--GainLossOnSaleOfProper"/>
            <w:bookmarkEnd w:id="102"/>
          </w:p>
        </w:tc>
      </w:tr>
      <w:tr>
        <w:trPr/>
        <w:tc>
          <w:tcPr>
            <w:tcW w:w="7010" w:type="dxa"/>
            <w:tcBorders/>
            <w:shd w:fill="CCEEFF" w:val="clear"/>
            <w:vAlign w:val="center"/>
          </w:tcPr>
          <w:p>
            <w:pPr>
              <w:pStyle w:val="TableContents"/>
              <w:bidi w:val="0"/>
              <w:spacing w:before="0" w:after="283"/>
              <w:jc w:val="left"/>
              <w:rPr/>
            </w:pPr>
            <w:r>
              <w:rPr/>
              <w:t>(Loss) gain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(288,176</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116,311</w:t>
            </w:r>
          </w:p>
        </w:tc>
        <w:tc>
          <w:tcPr>
            <w:tcW w:w="110" w:type="dxa"/>
            <w:tcBorders/>
            <w:shd w:fill="CCEEFF" w:val="clear"/>
            <w:vAlign w:val="center"/>
          </w:tcPr>
          <w:p>
            <w:pPr>
              <w:pStyle w:val="TableContents"/>
              <w:bidi w:val="0"/>
              <w:spacing w:before="0" w:after="283"/>
              <w:jc w:val="left"/>
              <w:rPr/>
            </w:pPr>
            <w:r>
              <w:rPr/>
              <w:t> </w:t>
            </w:r>
            <w:bookmarkStart w:id="103" w:name="xdx_407_eus-gaap--OtherNonoperatingIncom"/>
            <w:bookmarkEnd w:id="103"/>
          </w:p>
        </w:tc>
      </w:tr>
      <w:tr>
        <w:trPr/>
        <w:tc>
          <w:tcPr>
            <w:tcW w:w="701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197,232</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77,831</w:t>
            </w:r>
          </w:p>
        </w:tc>
        <w:tc>
          <w:tcPr>
            <w:tcW w:w="110" w:type="dxa"/>
            <w:tcBorders/>
            <w:shd w:fill="FFFFFF" w:val="clear"/>
            <w:vAlign w:val="center"/>
          </w:tcPr>
          <w:p>
            <w:pPr>
              <w:pStyle w:val="TableContents"/>
              <w:bidi w:val="0"/>
              <w:spacing w:before="0" w:after="283"/>
              <w:jc w:val="left"/>
              <w:rPr/>
            </w:pPr>
            <w:r>
              <w:rPr/>
              <w:t> </w:t>
            </w:r>
            <w:bookmarkStart w:id="104" w:name="xdx_40B_eus-gaap--NonoperatingIncomeExpe"/>
            <w:bookmarkEnd w:id="104"/>
          </w:p>
        </w:tc>
      </w:tr>
      <w:tr>
        <w:trPr/>
        <w:tc>
          <w:tcPr>
            <w:tcW w:w="7010" w:type="dxa"/>
            <w:tcBorders/>
            <w:shd w:fill="CCEEFF" w:val="clear"/>
            <w:vAlign w:val="center"/>
          </w:tcPr>
          <w:p>
            <w:pPr>
              <w:pStyle w:val="TableContents"/>
              <w:bidi w:val="0"/>
              <w:spacing w:before="0" w:after="283"/>
              <w:jc w:val="left"/>
              <w:rPr/>
            </w:pPr>
            <w:r>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(1,265,584</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1,268,228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5" w:name="xdx_408_eus-gaap--IncomeLossFromContinui"/>
            <w:bookmarkEnd w:id="105"/>
          </w:p>
        </w:tc>
      </w:tr>
      <w:tr>
        <w:trPr/>
        <w:tc>
          <w:tcPr>
            <w:tcW w:w="7010" w:type="dxa"/>
            <w:tcBorders/>
            <w:shd w:fill="CCEEFF" w:val="clear"/>
            <w:vAlign w:val="center"/>
          </w:tcPr>
          <w:p>
            <w:pPr>
              <w:pStyle w:val="TableContents"/>
              <w:bidi w:val="0"/>
              <w:spacing w:before="0" w:after="283"/>
              <w:jc w:val="left"/>
              <w:rPr>
                <w:b/>
              </w:rPr>
            </w:pPr>
            <w:r>
              <w:rPr>
                <w:b/>
              </w:rPr>
              <w:t>Loss before income taxes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(1,953,913</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(954,020</w:t>
            </w:r>
          </w:p>
        </w:tc>
        <w:tc>
          <w:tcPr>
            <w:tcW w:w="110" w:type="dxa"/>
            <w:tcBorders/>
            <w:shd w:fill="CCEEFF" w:val="clear"/>
            <w:vAlign w:val="center"/>
          </w:tcPr>
          <w:p>
            <w:pPr>
              <w:pStyle w:val="TableContents"/>
              <w:bidi w:val="0"/>
              <w:spacing w:before="0" w:after="283"/>
              <w:jc w:val="left"/>
              <w:rPr>
                <w:b/>
              </w:rPr>
            </w:pPr>
            <w:r>
              <w:rPr>
                <w:b/>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 w:name="xdx_407_eus-gaap--IncomeTaxExpenseBenefi"/>
            <w:bookmarkEnd w:id="106"/>
          </w:p>
        </w:tc>
      </w:tr>
      <w:tr>
        <w:trPr/>
        <w:tc>
          <w:tcPr>
            <w:tcW w:w="7010"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(117,174</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14,635</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 w:name="xdx_407_eus-gaap--ProfitLoss_iT_maNILzRj"/>
            <w:bookmarkEnd w:id="107"/>
          </w:p>
        </w:tc>
      </w:tr>
      <w:tr>
        <w:trPr/>
        <w:tc>
          <w:tcPr>
            <w:tcW w:w="70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(1,836,739</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b/>
              </w:rPr>
            </w:pPr>
            <w:r>
              <w:rPr>
                <w:b/>
              </w:rPr>
              <w:t>(968,655</w:t>
            </w:r>
          </w:p>
        </w:tc>
        <w:tc>
          <w:tcPr>
            <w:tcW w:w="110" w:type="dxa"/>
            <w:tcBorders/>
            <w:shd w:fill="CCEEFF" w:val="clear"/>
            <w:vAlign w:val="center"/>
          </w:tcPr>
          <w:p>
            <w:pPr>
              <w:pStyle w:val="TableContents"/>
              <w:bidi w:val="0"/>
              <w:spacing w:before="0" w:after="283"/>
              <w:jc w:val="left"/>
              <w:rPr>
                <w:b/>
              </w:rPr>
            </w:pPr>
            <w:r>
              <w:rPr>
                <w:b/>
              </w:rPr>
              <w:t>)</w:t>
            </w:r>
            <w:bookmarkStart w:id="108" w:name="xdx_401_eus-gaap--NetIncomeLossAttributa"/>
            <w:bookmarkEnd w:id="108"/>
          </w:p>
        </w:tc>
      </w:tr>
      <w:tr>
        <w:trPr/>
        <w:tc>
          <w:tcPr>
            <w:tcW w:w="7010" w:type="dxa"/>
            <w:tcBorders/>
            <w:shd w:fill="FFFFFF" w:val="clear"/>
            <w:vAlign w:val="center"/>
          </w:tcPr>
          <w:p>
            <w:pPr>
              <w:pStyle w:val="TableContents"/>
              <w:bidi w:val="0"/>
              <w:spacing w:before="0" w:after="283"/>
              <w:jc w:val="left"/>
              <w:rPr/>
            </w:pPr>
            <w:r>
              <w:rPr/>
              <w:t>Less: 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FFFFFF" w:val="clear"/>
            <w:tcMar>
              <w:bottom w:w="28" w:type="dxa"/>
            </w:tcMar>
            <w:vAlign w:val="center"/>
          </w:tcPr>
          <w:p>
            <w:pPr>
              <w:pStyle w:val="TableContents"/>
              <w:bidi w:val="0"/>
              <w:spacing w:before="0" w:after="283"/>
              <w:jc w:val="right"/>
              <w:rPr/>
            </w:pPr>
            <w:r>
              <w:rPr/>
              <w:t>(344,240</w:t>
            </w:r>
          </w:p>
        </w:tc>
        <w:tc>
          <w:tcPr>
            <w:tcW w:w="110" w:type="dxa"/>
            <w:tcBorders/>
            <w:shd w:fill="FFFFFF" w:val="clear"/>
            <w:vAlign w:val="center"/>
          </w:tcPr>
          <w:p>
            <w:pPr>
              <w:pStyle w:val="TableContents"/>
              <w:bidi w:val="0"/>
              <w:spacing w:before="0" w:after="283"/>
              <w:jc w:val="left"/>
              <w:rPr/>
            </w:pPr>
            <w:r>
              <w:rPr/>
              <w:t>)</w:t>
            </w:r>
            <w:bookmarkStart w:id="109" w:name="xdx_405_eus-gaap--NetIncomeLoss_iT_mtNIL"/>
            <w:bookmarkEnd w:id="109"/>
          </w:p>
        </w:tc>
      </w:tr>
      <w:tr>
        <w:trPr/>
        <w:tc>
          <w:tcPr>
            <w:tcW w:w="7010" w:type="dxa"/>
            <w:tcBorders/>
            <w:shd w:fill="CCEEFF" w:val="clear"/>
            <w:vAlign w:val="center"/>
          </w:tcPr>
          <w:p>
            <w:pPr>
              <w:pStyle w:val="TableContents"/>
              <w:bidi w:val="0"/>
              <w:spacing w:before="0" w:after="283"/>
              <w:jc w:val="left"/>
              <w:rPr>
                <w:b/>
              </w:rPr>
            </w:pPr>
            <w:r>
              <w:rPr>
                <w:b/>
              </w:rPr>
              <w:t>Net loss attributable to Leishen Energy Holding Co., Ltd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(1,836,739</w:t>
            </w:r>
          </w:p>
        </w:tc>
        <w:tc>
          <w:tcPr>
            <w:tcW w:w="103" w:type="dxa"/>
            <w:tcBorders/>
            <w:shd w:fill="CCEEFF" w:val="clear"/>
            <w:vAlign w:val="center"/>
          </w:tcPr>
          <w:p>
            <w:pPr>
              <w:pStyle w:val="TableContents"/>
              <w:bidi w:val="0"/>
              <w:spacing w:before="0" w:after="283"/>
              <w:jc w:val="left"/>
              <w:rPr>
                <w:b/>
              </w:rPr>
            </w:pPr>
            <w:r>
              <w:rPr>
                <w:b/>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(624,415</w:t>
            </w:r>
          </w:p>
        </w:tc>
        <w:tc>
          <w:tcPr>
            <w:tcW w:w="110" w:type="dxa"/>
            <w:tcBorders/>
            <w:shd w:fill="CCEEFF" w:val="clear"/>
            <w:vAlign w:val="center"/>
          </w:tcPr>
          <w:p>
            <w:pPr>
              <w:pStyle w:val="TableContents"/>
              <w:bidi w:val="0"/>
              <w:spacing w:before="0" w:after="283"/>
              <w:jc w:val="left"/>
              <w:rPr>
                <w:b/>
              </w:rPr>
            </w:pPr>
            <w:r>
              <w:rPr>
                <w:b/>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 w:name="xdx_40A_eus-gaap--OtherComprehensiveInco"/>
            <w:bookmarkEnd w:id="110"/>
          </w:p>
        </w:tc>
      </w:tr>
      <w:tr>
        <w:trPr/>
        <w:tc>
          <w:tcPr>
            <w:tcW w:w="7010"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 w:name="xdx_40D_eus-gaap--ProfitLoss_i01_maOCILB"/>
            <w:bookmarkEnd w:id="111"/>
          </w:p>
        </w:tc>
      </w:tr>
      <w:tr>
        <w:trPr/>
        <w:tc>
          <w:tcPr>
            <w:tcW w:w="70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(1,836,739</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w:t>
            </w:r>
          </w:p>
        </w:tc>
        <w:tc>
          <w:tcPr>
            <w:tcW w:w="1274" w:type="dxa"/>
            <w:tcBorders/>
            <w:shd w:fill="FFFFFF" w:val="clear"/>
            <w:vAlign w:val="center"/>
          </w:tcPr>
          <w:p>
            <w:pPr>
              <w:pStyle w:val="TableContents"/>
              <w:bidi w:val="0"/>
              <w:spacing w:before="0" w:after="283"/>
              <w:jc w:val="right"/>
              <w:rPr/>
            </w:pPr>
            <w:r>
              <w:rPr/>
              <w:t>(968,655</w:t>
            </w:r>
          </w:p>
        </w:tc>
        <w:tc>
          <w:tcPr>
            <w:tcW w:w="110" w:type="dxa"/>
            <w:tcBorders/>
            <w:shd w:fill="FFFFFF" w:val="clear"/>
            <w:vAlign w:val="center"/>
          </w:tcPr>
          <w:p>
            <w:pPr>
              <w:pStyle w:val="TableContents"/>
              <w:bidi w:val="0"/>
              <w:spacing w:before="0" w:after="283"/>
              <w:jc w:val="left"/>
              <w:rPr/>
            </w:pPr>
            <w:r>
              <w:rPr/>
              <w:t>)</w:t>
            </w:r>
            <w:bookmarkStart w:id="112" w:name="xdx_40D_eus-gaap--OtherComprehensiveInco"/>
            <w:bookmarkEnd w:id="112"/>
          </w:p>
        </w:tc>
      </w:tr>
      <w:tr>
        <w:trPr/>
        <w:tc>
          <w:tcPr>
            <w:tcW w:w="7010" w:type="dxa"/>
            <w:tcBorders/>
            <w:shd w:fill="CCEEFF" w:val="clear"/>
            <w:vAlign w:val="center"/>
          </w:tcPr>
          <w:p>
            <w:pPr>
              <w:pStyle w:val="TableContents"/>
              <w:bidi w:val="0"/>
              <w:spacing w:before="0" w:after="283"/>
              <w:jc w:val="left"/>
              <w:rPr/>
            </w:pPr>
            <w:r>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1,078,411</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(943,577</w:t>
            </w:r>
          </w:p>
        </w:tc>
        <w:tc>
          <w:tcPr>
            <w:tcW w:w="110" w:type="dxa"/>
            <w:tcBorders/>
            <w:shd w:fill="CCEEFF" w:val="clear"/>
            <w:vAlign w:val="center"/>
          </w:tcPr>
          <w:p>
            <w:pPr>
              <w:pStyle w:val="TableContents"/>
              <w:bidi w:val="0"/>
              <w:spacing w:before="0" w:after="283"/>
              <w:jc w:val="left"/>
              <w:rPr/>
            </w:pPr>
            <w:r>
              <w:rPr/>
              <w:t>)</w:t>
            </w:r>
            <w:bookmarkStart w:id="113" w:name="xdx_40F_eus-gaap--ComprehensiveIncomeNet"/>
            <w:bookmarkEnd w:id="113"/>
          </w:p>
        </w:tc>
      </w:tr>
      <w:tr>
        <w:trPr/>
        <w:tc>
          <w:tcPr>
            <w:tcW w:w="7010"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(758,328</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(1,912,232</w:t>
            </w:r>
          </w:p>
        </w:tc>
        <w:tc>
          <w:tcPr>
            <w:tcW w:w="110" w:type="dxa"/>
            <w:tcBorders/>
            <w:shd w:fill="FFFFFF" w:val="clear"/>
            <w:vAlign w:val="center"/>
          </w:tcPr>
          <w:p>
            <w:pPr>
              <w:pStyle w:val="TableContents"/>
              <w:bidi w:val="0"/>
              <w:spacing w:before="0" w:after="283"/>
              <w:jc w:val="left"/>
              <w:rPr/>
            </w:pPr>
            <w:r>
              <w:rPr/>
              <w:t>)</w:t>
            </w:r>
            <w:bookmarkStart w:id="114" w:name="xdx_40E_eus-gaap--ComprehensiveIncomeNet"/>
            <w:bookmarkEnd w:id="114"/>
          </w:p>
        </w:tc>
      </w:tr>
      <w:tr>
        <w:trPr/>
        <w:tc>
          <w:tcPr>
            <w:tcW w:w="7010" w:type="dxa"/>
            <w:tcBorders/>
            <w:shd w:fill="CCEEFF" w:val="clear"/>
            <w:vAlign w:val="center"/>
          </w:tcPr>
          <w:p>
            <w:pPr>
              <w:pStyle w:val="TableContents"/>
              <w:bidi w:val="0"/>
              <w:spacing w:before="0" w:after="283"/>
              <w:jc w:val="left"/>
              <w:rPr/>
            </w:pPr>
            <w:r>
              <w:rPr/>
              <w:t>Less: comprehensive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10,643</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(359,623</w:t>
            </w:r>
          </w:p>
        </w:tc>
        <w:tc>
          <w:tcPr>
            <w:tcW w:w="110" w:type="dxa"/>
            <w:tcBorders/>
            <w:shd w:fill="CCEEFF" w:val="clear"/>
            <w:vAlign w:val="center"/>
          </w:tcPr>
          <w:p>
            <w:pPr>
              <w:pStyle w:val="TableContents"/>
              <w:bidi w:val="0"/>
              <w:spacing w:before="0" w:after="283"/>
              <w:jc w:val="left"/>
              <w:rPr/>
            </w:pPr>
            <w:r>
              <w:rPr/>
              <w:t>)</w:t>
            </w:r>
            <w:bookmarkStart w:id="115" w:name="xdx_405_eus-gaap--ComprehensiveIncomeNet"/>
            <w:bookmarkEnd w:id="115"/>
          </w:p>
        </w:tc>
      </w:tr>
      <w:tr>
        <w:trPr/>
        <w:tc>
          <w:tcPr>
            <w:tcW w:w="7010" w:type="dxa"/>
            <w:tcBorders/>
            <w:shd w:fill="FFFFFF" w:val="clear"/>
            <w:vAlign w:val="center"/>
          </w:tcPr>
          <w:p>
            <w:pPr>
              <w:pStyle w:val="TableContents"/>
              <w:bidi w:val="0"/>
              <w:spacing w:before="0" w:after="283"/>
              <w:jc w:val="left"/>
              <w:rPr>
                <w:b/>
              </w:rPr>
            </w:pPr>
            <w:r>
              <w:rPr>
                <w:b/>
              </w:rPr>
              <w:t>Comprehensive loss attributable to Leishen Energy Holding Co., Ltd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(768,971</w:t>
            </w:r>
          </w:p>
        </w:tc>
        <w:tc>
          <w:tcPr>
            <w:tcW w:w="103"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(1,552,609</w:t>
            </w:r>
          </w:p>
        </w:tc>
        <w:tc>
          <w:tcPr>
            <w:tcW w:w="110" w:type="dxa"/>
            <w:tcBorders/>
            <w:shd w:fill="FFFFFF" w:val="clear"/>
            <w:vAlign w:val="center"/>
          </w:tcPr>
          <w:p>
            <w:pPr>
              <w:pStyle w:val="TableContents"/>
              <w:bidi w:val="0"/>
              <w:spacing w:before="0" w:after="283"/>
              <w:jc w:val="left"/>
              <w:rPr>
                <w:b/>
              </w:rPr>
            </w:pPr>
            <w:r>
              <w:rPr>
                <w:b/>
              </w:rPr>
              <w:t>)</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 w:name="xdx_40A_eus-gaap--EarningsPerShareAbstra"/>
            <w:bookmarkEnd w:id="116"/>
          </w:p>
        </w:tc>
      </w:tr>
      <w:tr>
        <w:trPr/>
        <w:tc>
          <w:tcPr>
            <w:tcW w:w="7010" w:type="dxa"/>
            <w:tcBorders/>
            <w:shd w:fill="FFFFFF" w:val="clear"/>
            <w:vAlign w:val="center"/>
          </w:tcPr>
          <w:p>
            <w:pPr>
              <w:pStyle w:val="TableContents"/>
              <w:bidi w:val="0"/>
              <w:spacing w:before="0" w:after="283"/>
              <w:jc w:val="left"/>
              <w:rPr>
                <w:b/>
              </w:rPr>
            </w:pPr>
            <w:r>
              <w:rPr>
                <w:b/>
              </w:rPr>
              <w:t>Loss per ordinary share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xml:space="preserve">– </w:t>
            </w:r>
            <w:r>
              <w:rPr/>
              <w:t>Basic and diluted</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C_eus-gaap--EarningsPerShareDilute"/>
            <w:bookmarkStart w:id="118" w:name="xdx_902_eus-gaap--EarningsPerShareBasic_"/>
            <w:bookmarkEnd w:id="117"/>
            <w:bookmarkEnd w:id="118"/>
            <w:r>
              <w:rPr/>
              <w:t>(0.11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7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E_eus-gaap--EarningsPerShareDilute"/>
            <w:bookmarkStart w:id="120" w:name="xdx_909_eus-gaap--EarningsPerShareBasic_"/>
            <w:bookmarkEnd w:id="119"/>
            <w:bookmarkEnd w:id="120"/>
            <w:r>
              <w:rPr/>
              <w:t>(0.04</w:t>
            </w:r>
          </w:p>
        </w:tc>
        <w:tc>
          <w:tcPr>
            <w:tcW w:w="110" w:type="dxa"/>
            <w:tcBorders/>
            <w:shd w:fill="CCEEFF" w:val="clear"/>
            <w:vAlign w:val="center"/>
          </w:tcPr>
          <w:p>
            <w:pPr>
              <w:pStyle w:val="TableContents"/>
              <w:bidi w:val="0"/>
              <w:spacing w:before="0" w:after="283"/>
              <w:jc w:val="left"/>
              <w:rPr/>
            </w:pPr>
            <w:r>
              <w:rPr/>
              <w:t>)</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1" w:name="xdx_40E_eus-gaap--WeightedAverageNumberO"/>
            <w:bookmarkEnd w:id="121"/>
          </w:p>
        </w:tc>
      </w:tr>
      <w:tr>
        <w:trPr/>
        <w:tc>
          <w:tcPr>
            <w:tcW w:w="7010" w:type="dxa"/>
            <w:tcBorders/>
            <w:shd w:fill="CCEEFF" w:val="clear"/>
            <w:vAlign w:val="center"/>
          </w:tcPr>
          <w:p>
            <w:pPr>
              <w:pStyle w:val="TableContents"/>
              <w:bidi w:val="0"/>
              <w:spacing w:before="0" w:after="283"/>
              <w:jc w:val="left"/>
              <w:rPr>
                <w:b/>
              </w:rPr>
            </w:pPr>
            <w:r>
              <w:rPr>
                <w:b/>
              </w:rPr>
              <w:t>Weighted average number of ordinary shares outstanding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xml:space="preserve">– </w:t>
            </w:r>
            <w:r>
              <w:rPr/>
              <w:t>Basic and diluted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2" w:name="xdx_908_eus-gaap--WeightedAverageNumberO"/>
            <w:bookmarkStart w:id="123" w:name="xdx_90D_eus-gaap--WeightedAverageNumberO"/>
            <w:bookmarkEnd w:id="122"/>
            <w:bookmarkEnd w:id="123"/>
            <w:r>
              <w:rPr/>
              <w:t>16,793,967</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24" w:name="xdx_904_eus-gaap--WeightedAverageNumberO"/>
            <w:bookmarkStart w:id="125" w:name="xdx_90C_eus-gaap--WeightedAverageNumberO"/>
            <w:bookmarkEnd w:id="124"/>
            <w:bookmarkEnd w:id="125"/>
            <w:r>
              <w:rPr/>
              <w:t>16,330,631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6" w:name="Y-003"/>
      <w:bookmarkEnd w:id="126"/>
      <w:r>
        <w:rPr>
          <w:rFonts w:ascii="Times New Roman;Times;Serif" w:hAnsi="Times New Roman;Times;Serif"/>
          <w:b/>
          <w:i w:val="false"/>
          <w:caps w:val="false"/>
          <w:smallCaps w:val="false"/>
          <w:sz w:val="20"/>
        </w:rPr>
        <w:t>LEISHEN ENERGY HOLDING CO., LTD.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MARCH 31,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7" w:name="xdx_30A_114_zUHgLAZ7Zt87"/>
      <w:bookmarkStart w:id="128" w:name="xdx_30A_114_zUHgLAZ7Zt87"/>
      <w:bookmarkEnd w:id="128"/>
    </w:p>
    <w:tbl>
      <w:tblPr>
        <w:tblW w:w="15250" w:type="dxa"/>
        <w:jc w:val="left"/>
        <w:tblInd w:w="0" w:type="dxa"/>
        <w:tblLayout w:type="fixed"/>
        <w:tblCellMar>
          <w:top w:w="0" w:type="dxa"/>
          <w:left w:w="0" w:type="dxa"/>
          <w:bottom w:w="0" w:type="dxa"/>
          <w:right w:w="0" w:type="dxa"/>
        </w:tblCellMar>
      </w:tblPr>
      <w:tblGrid>
        <w:gridCol w:w="1370"/>
        <w:gridCol w:w="60"/>
        <w:gridCol w:w="60"/>
        <w:gridCol w:w="1100"/>
        <w:gridCol w:w="60"/>
        <w:gridCol w:w="60"/>
        <w:gridCol w:w="146"/>
        <w:gridCol w:w="714"/>
        <w:gridCol w:w="80"/>
        <w:gridCol w:w="80"/>
        <w:gridCol w:w="204"/>
        <w:gridCol w:w="1106"/>
        <w:gridCol w:w="95"/>
        <w:gridCol w:w="60"/>
        <w:gridCol w:w="140"/>
        <w:gridCol w:w="980"/>
        <w:gridCol w:w="60"/>
        <w:gridCol w:w="60"/>
        <w:gridCol w:w="140"/>
        <w:gridCol w:w="980"/>
        <w:gridCol w:w="60"/>
        <w:gridCol w:w="60"/>
        <w:gridCol w:w="140"/>
        <w:gridCol w:w="1100"/>
        <w:gridCol w:w="95"/>
        <w:gridCol w:w="60"/>
        <w:gridCol w:w="179"/>
        <w:gridCol w:w="1356"/>
        <w:gridCol w:w="95"/>
        <w:gridCol w:w="60"/>
        <w:gridCol w:w="140"/>
        <w:gridCol w:w="1100"/>
        <w:gridCol w:w="95"/>
        <w:gridCol w:w="60"/>
        <w:gridCol w:w="224"/>
        <w:gridCol w:w="1401"/>
        <w:gridCol w:w="95"/>
        <w:gridCol w:w="60"/>
        <w:gridCol w:w="140"/>
        <w:gridCol w:w="1100"/>
        <w:gridCol w:w="75"/>
      </w:tblGrid>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A_us-gaap--StatementEquityComponen"/>
            <w:bookmarkEnd w:id="12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bookmarkStart w:id="130" w:name="xdx_4B6_us-gaap--StatementEquityComponen"/>
            <w:bookmarkEnd w:id="130"/>
          </w:p>
        </w:tc>
        <w:tc>
          <w:tcPr>
            <w:tcW w:w="80" w:type="dxa"/>
            <w:tcBorders/>
            <w:vAlign w:val="center"/>
          </w:tcPr>
          <w:p>
            <w:pPr>
              <w:pStyle w:val="TableContents"/>
              <w:bidi w:val="0"/>
              <w:spacing w:before="0" w:after="283"/>
              <w:jc w:val="left"/>
              <w:rPr/>
            </w:pPr>
            <w:r>
              <w:rPr/>
              <w:t> </w:t>
            </w:r>
            <w:bookmarkStart w:id="131" w:name="xdx_4BE_us-gaap--StatementEquityComponen"/>
            <w:bookmarkEnd w:id="131"/>
          </w:p>
        </w:tc>
        <w:tc>
          <w:tcPr>
            <w:tcW w:w="80" w:type="dxa"/>
            <w:tcBorders/>
            <w:vAlign w:val="center"/>
          </w:tcPr>
          <w:p>
            <w:pPr>
              <w:pStyle w:val="TableContents"/>
              <w:bidi w:val="0"/>
              <w:spacing w:before="0" w:after="283"/>
              <w:jc w:val="left"/>
              <w:rPr/>
            </w:pPr>
            <w:r>
              <w:rPr/>
              <w:t> </w:t>
            </w:r>
            <w:bookmarkStart w:id="132" w:name="xdx_4B8_us-gaap--StatementEquityComponen"/>
            <w:bookmarkEnd w:id="132"/>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B7_us-gaap--StatementEquityComponen"/>
            <w:bookmarkEnd w:id="133"/>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 w:name="xdx_4B5_us-gaap--StatementEquityComponen"/>
            <w:bookmarkEnd w:id="134"/>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BE_us-gaap--StatementEquityComponen"/>
            <w:bookmarkEnd w:id="135"/>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 w:name="xdx_4BA_us-gaap--StatementEquityComponen"/>
            <w:bookmarkEnd w:id="136"/>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BC_us-gaap--StatementEquityComponen"/>
            <w:bookmarkEnd w:id="137"/>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BB_us-gaap--StatementEquityComponen"/>
            <w:bookmarkEnd w:id="138"/>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9_zpT6JDwOLiHb"/>
            <w:bookmarkEnd w:id="139"/>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Ordinary shares</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Subscription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paid-in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Statutory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Total equity attributable to Leishen Energy Holding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b/>
              </w:rPr>
            </w:pPr>
            <w:r>
              <w:rPr>
                <w:b/>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 Ltd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140" w:name="xdx_43B_c20241001__20250331_eus-gaap--St"/>
            <w:bookmarkEnd w:id="140"/>
          </w:p>
        </w:tc>
      </w:tr>
      <w:tr>
        <w:trPr/>
        <w:tc>
          <w:tcPr>
            <w:tcW w:w="1370" w:type="dxa"/>
            <w:tcBorders/>
            <w:shd w:fill="CCEEFF" w:val="clear"/>
            <w:vAlign w:val="center"/>
          </w:tcPr>
          <w:p>
            <w:pPr>
              <w:pStyle w:val="TableContents"/>
              <w:bidi w:val="0"/>
              <w:spacing w:before="0" w:after="283"/>
              <w:jc w:val="left"/>
              <w:rPr>
                <w:b/>
              </w:rPr>
            </w:pPr>
            <w:r>
              <w:rPr>
                <w:b/>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6_eus-gaap--SharesOutstanding_iS_p"/>
            <w:bookmarkEnd w:id="141"/>
          </w:p>
        </w:tc>
        <w:tc>
          <w:tcPr>
            <w:tcW w:w="1100" w:type="dxa"/>
            <w:tcBorders/>
            <w:shd w:fill="CCEEFF" w:val="clear"/>
            <w:vAlign w:val="center"/>
          </w:tcPr>
          <w:p>
            <w:pPr>
              <w:pStyle w:val="TableContents"/>
              <w:bidi w:val="0"/>
              <w:spacing w:before="0" w:after="283"/>
              <w:jc w:val="right"/>
              <w:rPr>
                <w:b/>
              </w:rPr>
            </w:pPr>
            <w:r>
              <w:rPr>
                <w:b/>
              </w:rPr>
              <w:t>15,500,000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b/>
              </w:rPr>
            </w:pPr>
            <w:r>
              <w:rPr>
                <w:b/>
              </w:rPr>
              <w:t>15,500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04" w:type="dxa"/>
            <w:tcBorders/>
            <w:shd w:fill="CCEEFF" w:val="clear"/>
            <w:vAlign w:val="center"/>
          </w:tcPr>
          <w:p>
            <w:pPr>
              <w:pStyle w:val="TableContents"/>
              <w:bidi w:val="0"/>
              <w:spacing w:before="0" w:after="283"/>
              <w:jc w:val="left"/>
              <w:rPr>
                <w:b/>
              </w:rPr>
            </w:pPr>
            <w:r>
              <w:rPr>
                <w:b/>
              </w:rPr>
              <w:t>$</w:t>
            </w:r>
          </w:p>
        </w:tc>
        <w:tc>
          <w:tcPr>
            <w:tcW w:w="1106" w:type="dxa"/>
            <w:tcBorders/>
            <w:shd w:fill="CCEEFF" w:val="clear"/>
            <w:vAlign w:val="center"/>
          </w:tcPr>
          <w:p>
            <w:pPr>
              <w:pStyle w:val="TableContents"/>
              <w:bidi w:val="0"/>
              <w:spacing w:before="0" w:after="283"/>
              <w:jc w:val="right"/>
              <w:rPr>
                <w:b/>
              </w:rPr>
            </w:pPr>
            <w:r>
              <w:rPr>
                <w:b/>
              </w:rPr>
              <w:t>(15,500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1,617,966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1,690,994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37,339,006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1356" w:type="dxa"/>
            <w:tcBorders/>
            <w:shd w:fill="CCEEFF" w:val="clear"/>
            <w:vAlign w:val="center"/>
          </w:tcPr>
          <w:p>
            <w:pPr>
              <w:pStyle w:val="TableContents"/>
              <w:bidi w:val="0"/>
              <w:spacing w:before="0" w:after="283"/>
              <w:jc w:val="right"/>
              <w:rPr>
                <w:b/>
              </w:rPr>
            </w:pPr>
            <w:r>
              <w:rPr>
                <w:b/>
              </w:rPr>
              <w:t>(861,374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39,786,592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b/>
              </w:rPr>
            </w:pPr>
            <w:r>
              <w:rPr>
                <w:b/>
              </w:rPr>
              <w:t>$</w:t>
            </w:r>
          </w:p>
        </w:tc>
        <w:tc>
          <w:tcPr>
            <w:tcW w:w="1401" w:type="dxa"/>
            <w:tcBorders/>
            <w:shd w:fill="CCEEFF" w:val="clear"/>
            <w:vAlign w:val="center"/>
          </w:tcPr>
          <w:p>
            <w:pPr>
              <w:pStyle w:val="TableContents"/>
              <w:bidi w:val="0"/>
              <w:spacing w:before="0" w:after="283"/>
              <w:jc w:val="right"/>
              <w:rPr>
                <w:b/>
              </w:rPr>
            </w:pPr>
            <w:r>
              <w:rPr>
                <w:b/>
              </w:rPr>
              <w:t>668,921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40,455,513</w:t>
            </w:r>
          </w:p>
        </w:tc>
        <w:tc>
          <w:tcPr>
            <w:tcW w:w="75" w:type="dxa"/>
            <w:tcBorders/>
            <w:shd w:fill="CCEEFF" w:val="clear"/>
            <w:vAlign w:val="center"/>
          </w:tcPr>
          <w:p>
            <w:pPr>
              <w:pStyle w:val="TableContents"/>
              <w:bidi w:val="0"/>
              <w:spacing w:before="0" w:after="283"/>
              <w:jc w:val="left"/>
              <w:rPr/>
            </w:pPr>
            <w:r>
              <w:rPr/>
              <w:t> </w:t>
            </w:r>
            <w:bookmarkStart w:id="142" w:name="xdx_40A_ecustom--StockIssuedDuringPeriod"/>
            <w:bookmarkEnd w:id="142"/>
          </w:p>
        </w:tc>
      </w:tr>
      <w:tr>
        <w:trPr/>
        <w:tc>
          <w:tcPr>
            <w:tcW w:w="1370" w:type="dxa"/>
            <w:tcBorders/>
            <w:shd w:fill="FFFFFF" w:val="clear"/>
            <w:vAlign w:val="center"/>
          </w:tcPr>
          <w:p>
            <w:pPr>
              <w:pStyle w:val="TableContents"/>
              <w:bidi w:val="0"/>
              <w:spacing w:before="0" w:after="283"/>
              <w:jc w:val="left"/>
              <w:rPr/>
            </w:pPr>
            <w:r>
              <w:rPr/>
              <w:t>Shares issued in initial public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3" w:name="xdx_988_ecustom--StockIssuedDuringPeriod"/>
            <w:bookmarkEnd w:id="143"/>
          </w:p>
        </w:tc>
        <w:tc>
          <w:tcPr>
            <w:tcW w:w="1100" w:type="dxa"/>
            <w:tcBorders/>
            <w:shd w:fill="FFFFFF" w:val="clear"/>
            <w:vAlign w:val="center"/>
          </w:tcPr>
          <w:p>
            <w:pPr>
              <w:pStyle w:val="TableContents"/>
              <w:bidi w:val="0"/>
              <w:spacing w:before="0" w:after="283"/>
              <w:jc w:val="right"/>
              <w:rPr/>
            </w:pPr>
            <w:r>
              <w:rPr/>
              <w:t>1,525,000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1,525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4,814,013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4,815,538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4,815,538</w:t>
            </w:r>
          </w:p>
        </w:tc>
        <w:tc>
          <w:tcPr>
            <w:tcW w:w="75" w:type="dxa"/>
            <w:tcBorders/>
            <w:shd w:fill="FFFFFF" w:val="clear"/>
            <w:vAlign w:val="center"/>
          </w:tcPr>
          <w:p>
            <w:pPr>
              <w:pStyle w:val="TableContents"/>
              <w:bidi w:val="0"/>
              <w:spacing w:before="0" w:after="283"/>
              <w:jc w:val="left"/>
              <w:rPr/>
            </w:pPr>
            <w:r>
              <w:rPr/>
              <w:t> </w:t>
            </w:r>
            <w:bookmarkStart w:id="144" w:name="xdx_40D_eus-gaap--ProfitLoss_zKyUL7z0Eq5"/>
            <w:bookmarkEnd w:id="144"/>
          </w:p>
        </w:tc>
      </w:tr>
      <w:tr>
        <w:trPr/>
        <w:tc>
          <w:tcPr>
            <w:tcW w:w="13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b/>
              </w:rPr>
            </w:pPr>
            <w:r>
              <w:rPr>
                <w:b/>
              </w:rPr>
              <w:t>-</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(624,415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(624,415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401" w:type="dxa"/>
            <w:tcBorders/>
            <w:shd w:fill="CCEEFF" w:val="clear"/>
            <w:vAlign w:val="center"/>
          </w:tcPr>
          <w:p>
            <w:pPr>
              <w:pStyle w:val="TableContents"/>
              <w:bidi w:val="0"/>
              <w:spacing w:before="0" w:after="283"/>
              <w:jc w:val="right"/>
              <w:rPr/>
            </w:pPr>
            <w:r>
              <w:rPr/>
              <w:t>(344,240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(968,655</w:t>
            </w:r>
          </w:p>
        </w:tc>
        <w:tc>
          <w:tcPr>
            <w:tcW w:w="75" w:type="dxa"/>
            <w:tcBorders/>
            <w:shd w:fill="CCEEFF" w:val="clear"/>
            <w:vAlign w:val="center"/>
          </w:tcPr>
          <w:p>
            <w:pPr>
              <w:pStyle w:val="TableContents"/>
              <w:bidi w:val="0"/>
              <w:spacing w:before="0" w:after="283"/>
              <w:jc w:val="left"/>
              <w:rPr/>
            </w:pPr>
            <w:r>
              <w:rPr/>
              <w:t> </w:t>
            </w:r>
            <w:bookmarkStart w:id="145" w:name="xdx_407_ecustom--StockIssuedDuringPeriod"/>
            <w:bookmarkEnd w:id="145"/>
          </w:p>
        </w:tc>
      </w:tr>
      <w:tr>
        <w:trPr/>
        <w:tc>
          <w:tcPr>
            <w:tcW w:w="1370" w:type="dxa"/>
            <w:tcBorders/>
            <w:shd w:fill="FFFFFF" w:val="clear"/>
            <w:vAlign w:val="center"/>
          </w:tcPr>
          <w:p>
            <w:pPr>
              <w:pStyle w:val="TableContents"/>
              <w:bidi w:val="0"/>
              <w:spacing w:before="0" w:after="283"/>
              <w:jc w:val="left"/>
              <w:rPr/>
            </w:pPr>
            <w:r>
              <w:rPr/>
              <w:t>Appropriation to statutory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b/>
              </w:rPr>
            </w:pPr>
            <w:r>
              <w:rPr>
                <w:b/>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401"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bookmarkStart w:id="146" w:name="xdx_405_eus-gaap--OtherComprehensiveInco"/>
            <w:bookmarkEnd w:id="146"/>
          </w:p>
        </w:tc>
      </w:tr>
      <w:tr>
        <w:trPr/>
        <w:tc>
          <w:tcPr>
            <w:tcW w:w="137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(928,194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(928,194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01" w:type="dxa"/>
            <w:tcBorders>
              <w:bottom w:val="single" w:sz="8" w:space="0" w:color="000000"/>
            </w:tcBorders>
            <w:shd w:fill="CCEEFF" w:val="clear"/>
            <w:tcMar>
              <w:bottom w:w="28" w:type="dxa"/>
            </w:tcMar>
            <w:vAlign w:val="center"/>
          </w:tcPr>
          <w:p>
            <w:pPr>
              <w:pStyle w:val="TableContents"/>
              <w:bidi w:val="0"/>
              <w:spacing w:before="0" w:after="283"/>
              <w:jc w:val="right"/>
              <w:rPr/>
            </w:pPr>
            <w:r>
              <w:rPr/>
              <w:t>(15,383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(943,577</w:t>
            </w:r>
          </w:p>
        </w:tc>
        <w:tc>
          <w:tcPr>
            <w:tcW w:w="75" w:type="dxa"/>
            <w:tcBorders/>
            <w:shd w:fill="CCEEFF" w:val="clear"/>
            <w:vAlign w:val="center"/>
          </w:tcPr>
          <w:p>
            <w:pPr>
              <w:pStyle w:val="TableContents"/>
              <w:bidi w:val="0"/>
              <w:spacing w:before="0" w:after="283"/>
              <w:jc w:val="left"/>
              <w:rPr/>
            </w:pPr>
            <w:r>
              <w:rPr/>
              <w:t> </w:t>
            </w:r>
            <w:bookmarkStart w:id="147" w:name="xdx_43C_c20241001__20250331_eus-gaap--St"/>
            <w:bookmarkEnd w:id="147"/>
          </w:p>
        </w:tc>
      </w:tr>
      <w:tr>
        <w:trPr/>
        <w:tc>
          <w:tcPr>
            <w:tcW w:w="1370" w:type="dxa"/>
            <w:tcBorders/>
            <w:shd w:fill="FFFFFF" w:val="clear"/>
            <w:vAlign w:val="center"/>
          </w:tcPr>
          <w:p>
            <w:pPr>
              <w:pStyle w:val="TableContents"/>
              <w:bidi w:val="0"/>
              <w:spacing w:before="0" w:after="283"/>
              <w:jc w:val="left"/>
              <w:rPr>
                <w:b/>
              </w:rPr>
            </w:pPr>
            <w:r>
              <w:rPr>
                <w:b/>
              </w:rPr>
              <w:t>Balance as of March 31,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8" w:name="xdx_98A_eus-gaap--SharesOutstanding_iE_p"/>
            <w:bookmarkEnd w:id="14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17,025,000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17,025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(15,500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6,431,979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1,737,024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36,668,561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(1,789,568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43,049,521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0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309,298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43,358,819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470" w:type="dxa"/>
        <w:jc w:val="left"/>
        <w:tblInd w:w="0" w:type="dxa"/>
        <w:tblLayout w:type="fixed"/>
        <w:tblCellMar>
          <w:top w:w="0" w:type="dxa"/>
          <w:left w:w="0" w:type="dxa"/>
          <w:bottom w:w="0" w:type="dxa"/>
          <w:right w:w="0" w:type="dxa"/>
        </w:tblCellMar>
      </w:tblPr>
      <w:tblGrid>
        <w:gridCol w:w="1490"/>
        <w:gridCol w:w="60"/>
        <w:gridCol w:w="60"/>
        <w:gridCol w:w="1175"/>
        <w:gridCol w:w="95"/>
        <w:gridCol w:w="60"/>
        <w:gridCol w:w="140"/>
        <w:gridCol w:w="755"/>
        <w:gridCol w:w="95"/>
        <w:gridCol w:w="60"/>
        <w:gridCol w:w="60"/>
        <w:gridCol w:w="980"/>
        <w:gridCol w:w="60"/>
        <w:gridCol w:w="60"/>
        <w:gridCol w:w="172"/>
        <w:gridCol w:w="688"/>
        <w:gridCol w:w="60"/>
        <w:gridCol w:w="60"/>
        <w:gridCol w:w="60"/>
        <w:gridCol w:w="1100"/>
        <w:gridCol w:w="60"/>
        <w:gridCol w:w="60"/>
        <w:gridCol w:w="146"/>
        <w:gridCol w:w="714"/>
        <w:gridCol w:w="60"/>
        <w:gridCol w:w="60"/>
        <w:gridCol w:w="204"/>
        <w:gridCol w:w="1106"/>
        <w:gridCol w:w="95"/>
        <w:gridCol w:w="60"/>
        <w:gridCol w:w="140"/>
        <w:gridCol w:w="980"/>
        <w:gridCol w:w="95"/>
        <w:gridCol w:w="60"/>
        <w:gridCol w:w="140"/>
        <w:gridCol w:w="980"/>
        <w:gridCol w:w="60"/>
        <w:gridCol w:w="60"/>
        <w:gridCol w:w="140"/>
        <w:gridCol w:w="1100"/>
        <w:gridCol w:w="95"/>
        <w:gridCol w:w="60"/>
        <w:gridCol w:w="179"/>
        <w:gridCol w:w="1356"/>
        <w:gridCol w:w="95"/>
        <w:gridCol w:w="60"/>
        <w:gridCol w:w="140"/>
        <w:gridCol w:w="1100"/>
        <w:gridCol w:w="95"/>
        <w:gridCol w:w="60"/>
        <w:gridCol w:w="174"/>
        <w:gridCol w:w="941"/>
        <w:gridCol w:w="95"/>
        <w:gridCol w:w="60"/>
        <w:gridCol w:w="140"/>
        <w:gridCol w:w="1100"/>
        <w:gridCol w:w="110"/>
      </w:tblGrid>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49" w:name="xdx_4BA_us-gaap--StatementEquityComponen"/>
            <w:bookmarkEnd w:id="149"/>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0" w:name="xdx_4B6_us-gaap--StatementEquityComponen"/>
            <w:bookmarkEnd w:id="150"/>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1" w:name="xdx_4BE_us-gaap--StatementEquityComponen"/>
            <w:bookmarkEnd w:id="151"/>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2" w:name="xdx_4B8_us-gaap--StatementEquityComponen"/>
            <w:bookmarkEnd w:id="152"/>
          </w:p>
        </w:tc>
        <w:tc>
          <w:tcPr>
            <w:tcW w:w="13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3" w:name="xdx_4B7_us-gaap--StatementEquityComponen"/>
            <w:bookmarkEnd w:id="153"/>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4" w:name="xdx_4B5_us-gaap--StatementEquityComponen"/>
            <w:bookmarkEnd w:id="154"/>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5" w:name="xdx_4BE_us-gaap--StatementEquityComponen"/>
            <w:bookmarkEnd w:id="155"/>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6" w:name="xdx_4BA_us-gaap--StatementEquityComponen"/>
            <w:bookmarkEnd w:id="156"/>
          </w:p>
        </w:tc>
        <w:tc>
          <w:tcPr>
            <w:tcW w:w="1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7" w:name="xdx_4BC_us-gaap--StatementEquityComponen"/>
            <w:bookmarkEnd w:id="157"/>
          </w:p>
        </w:tc>
        <w:tc>
          <w:tcPr>
            <w:tcW w:w="1240" w:type="dxa"/>
            <w:gridSpan w:val="2"/>
            <w:tcBorders/>
            <w:vAlign w:val="center"/>
          </w:tcPr>
          <w:p>
            <w:pPr>
              <w:pStyle w:val="TableContents"/>
              <w:bidi w:val="0"/>
              <w:spacing w:before="0" w:after="283"/>
              <w:jc w:val="center"/>
              <w:rPr>
                <w:b/>
              </w:rPr>
            </w:pPr>
            <w:r>
              <w:rPr>
                <w:b/>
              </w:rPr>
              <w:t>Total equity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8" w:name="xdx_4BB_us-gaap--StatementEquityComponen"/>
            <w:bookmarkEnd w:id="158"/>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59" w:name="xdx_4B9_zJy9IjA6hqY6"/>
            <w:bookmarkEnd w:id="159"/>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attributable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to Leishen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85" w:type="dxa"/>
            <w:gridSpan w:val="6"/>
            <w:tcBorders/>
            <w:vAlign w:val="center"/>
          </w:tcPr>
          <w:p>
            <w:pPr>
              <w:pStyle w:val="TableContents"/>
              <w:bidi w:val="0"/>
              <w:spacing w:before="0" w:after="283"/>
              <w:jc w:val="center"/>
              <w:rPr>
                <w:b/>
              </w:rPr>
            </w:pPr>
            <w:r>
              <w:rPr>
                <w:b/>
              </w:rPr>
              <w:t>Ordinary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vAlign w:val="center"/>
          </w:tcPr>
          <w:p>
            <w:pPr>
              <w:pStyle w:val="TableContents"/>
              <w:bidi w:val="0"/>
              <w:spacing w:before="0" w:after="283"/>
              <w:jc w:val="center"/>
              <w:rPr>
                <w:b/>
              </w:rPr>
            </w:pPr>
            <w:r>
              <w:rPr>
                <w:b/>
              </w:rPr>
              <w:t>Class A Ordinary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vAlign w:val="center"/>
          </w:tcPr>
          <w:p>
            <w:pPr>
              <w:pStyle w:val="TableContents"/>
              <w:bidi w:val="0"/>
              <w:spacing w:before="0" w:after="283"/>
              <w:jc w:val="center"/>
              <w:rPr>
                <w:b/>
              </w:rPr>
            </w:pPr>
            <w:r>
              <w:rPr>
                <w:b/>
              </w:rPr>
              <w:t>Class B Ordinary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Energy</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rPr>
            </w:pPr>
            <w:r>
              <w:rPr>
                <w:b/>
              </w:rPr>
              <w:t>Non-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vAlign w:val="center"/>
          </w:tcPr>
          <w:p>
            <w:pPr>
              <w:pStyle w:val="TableContents"/>
              <w:bidi w:val="0"/>
              <w:spacing w:before="0" w:after="283"/>
              <w:jc w:val="center"/>
              <w:rPr>
                <w:b/>
              </w:rPr>
            </w:pPr>
            <w:r>
              <w:rPr>
                <w:b/>
              </w:rPr>
              <w:t>Subscription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b/>
              </w:rPr>
            </w:pPr>
            <w:r>
              <w:rPr>
                <w:b/>
              </w:rPr>
              <w:t>Statutory</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Retained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Holding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rPr>
            </w:pPr>
            <w:r>
              <w:rPr>
                <w:b/>
              </w:rPr>
              <w:t>controlling</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receivable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reserves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 Ltd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center"/>
              <w:rPr/>
            </w:pPr>
            <w:r>
              <w:rPr/>
              <w:t> </w:t>
            </w:r>
            <w:bookmarkStart w:id="160" w:name="xdx_43B_c20251001__20260331_eus-gaap--St"/>
            <w:bookmarkEnd w:id="160"/>
          </w:p>
        </w:tc>
      </w:tr>
      <w:tr>
        <w:trPr/>
        <w:tc>
          <w:tcPr>
            <w:tcW w:w="1490" w:type="dxa"/>
            <w:tcBorders/>
            <w:shd w:fill="CCEEFF" w:val="clear"/>
            <w:vAlign w:val="center"/>
          </w:tcPr>
          <w:p>
            <w:pPr>
              <w:pStyle w:val="TableContents"/>
              <w:bidi w:val="0"/>
              <w:spacing w:before="0" w:after="283"/>
              <w:jc w:val="left"/>
              <w:rPr>
                <w:b/>
              </w:rPr>
            </w:pPr>
            <w:r>
              <w:rPr>
                <w:b/>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7_eus-gaap--SharesOutstanding_iS_p"/>
            <w:bookmarkEnd w:id="161"/>
          </w:p>
        </w:tc>
        <w:tc>
          <w:tcPr>
            <w:tcW w:w="1175" w:type="dxa"/>
            <w:tcBorders/>
            <w:shd w:fill="CCEEFF" w:val="clear"/>
            <w:vAlign w:val="center"/>
          </w:tcPr>
          <w:p>
            <w:pPr>
              <w:pStyle w:val="TableContents"/>
              <w:bidi w:val="0"/>
              <w:spacing w:before="0" w:after="283"/>
              <w:jc w:val="right"/>
              <w:rPr>
                <w:b/>
              </w:rPr>
            </w:pPr>
            <w:r>
              <w:rPr>
                <w:b/>
              </w:rPr>
              <w:t>17,025,000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17,025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E_eus-gaap--SharesOutstanding_iS_p"/>
            <w:bookmarkEnd w:id="162"/>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3" w:name="xdx_981_eus-gaap--SharesOutstanding_iS_p"/>
            <w:bookmarkEnd w:id="163"/>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106" w:type="dxa"/>
            <w:tcBorders/>
            <w:shd w:fill="CCEEFF" w:val="clear"/>
            <w:vAlign w:val="center"/>
          </w:tcPr>
          <w:p>
            <w:pPr>
              <w:pStyle w:val="TableContents"/>
              <w:bidi w:val="0"/>
              <w:spacing w:before="0" w:after="283"/>
              <w:jc w:val="right"/>
              <w:rPr>
                <w:b/>
              </w:rPr>
            </w:pPr>
            <w:r>
              <w:rPr>
                <w:b/>
              </w:rPr>
              <w:t>(15,000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6,544,298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2,076,469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38,207,918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1356" w:type="dxa"/>
            <w:tcBorders/>
            <w:shd w:fill="CCEEFF" w:val="clear"/>
            <w:vAlign w:val="center"/>
          </w:tcPr>
          <w:p>
            <w:pPr>
              <w:pStyle w:val="TableContents"/>
              <w:bidi w:val="0"/>
              <w:spacing w:before="0" w:after="283"/>
              <w:jc w:val="right"/>
              <w:rPr>
                <w:b/>
              </w:rPr>
            </w:pPr>
            <w:r>
              <w:rPr>
                <w:b/>
              </w:rPr>
              <w:t>(1,397,475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45,432,735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941" w:type="dxa"/>
            <w:tcBorders/>
            <w:shd w:fill="CCEEFF" w:val="clear"/>
            <w:vAlign w:val="center"/>
          </w:tcPr>
          <w:p>
            <w:pPr>
              <w:pStyle w:val="TableContents"/>
              <w:bidi w:val="0"/>
              <w:spacing w:before="0" w:after="283"/>
              <w:jc w:val="right"/>
              <w:rPr>
                <w:b/>
              </w:rPr>
            </w:pPr>
            <w:r>
              <w:rPr>
                <w:b/>
              </w:rPr>
              <w:t>24,765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45,457,500</w:t>
            </w:r>
          </w:p>
        </w:tc>
        <w:tc>
          <w:tcPr>
            <w:tcW w:w="110" w:type="dxa"/>
            <w:tcBorders/>
            <w:shd w:fill="CCEEFF" w:val="clear"/>
            <w:vAlign w:val="center"/>
          </w:tcPr>
          <w:p>
            <w:pPr>
              <w:pStyle w:val="TableContents"/>
              <w:bidi w:val="0"/>
              <w:spacing w:before="0" w:after="283"/>
              <w:jc w:val="left"/>
              <w:rPr/>
            </w:pPr>
            <w:r>
              <w:rPr/>
              <w:t> </w:t>
            </w:r>
            <w:bookmarkStart w:id="164" w:name="xdx_433_c20251001__20260331_eus-gaap--St"/>
            <w:bookmarkEnd w:id="164"/>
          </w:p>
        </w:tc>
      </w:tr>
      <w:tr>
        <w:trPr/>
        <w:tc>
          <w:tcPr>
            <w:tcW w:w="149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E_eus-gaap--SharesOutstanding_iS_p"/>
            <w:bookmarkEnd w:id="165"/>
          </w:p>
        </w:tc>
        <w:tc>
          <w:tcPr>
            <w:tcW w:w="1175" w:type="dxa"/>
            <w:tcBorders/>
            <w:shd w:fill="CCEEFF" w:val="clear"/>
            <w:vAlign w:val="center"/>
          </w:tcPr>
          <w:p>
            <w:pPr>
              <w:pStyle w:val="TableContents"/>
              <w:bidi w:val="0"/>
              <w:spacing w:before="0" w:after="283"/>
              <w:jc w:val="right"/>
              <w:rPr>
                <w:b/>
              </w:rPr>
            </w:pPr>
            <w:r>
              <w:rPr>
                <w:b/>
              </w:rPr>
              <w:t>17,025,000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17,025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6" w:name="xdx_98F_eus-gaap--SharesOutstanding_iS_p"/>
            <w:bookmarkEnd w:id="166"/>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b/>
              </w:rPr>
            </w:pPr>
            <w:r>
              <w:rPr>
                <w:b/>
              </w:rPr>
              <w:t>$</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7" w:name="xdx_989_eus-gaap--SharesOutstanding_iS_p"/>
            <w:bookmarkEnd w:id="167"/>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b/>
              </w:rPr>
            </w:pPr>
            <w:r>
              <w:rPr>
                <w:b/>
              </w:rPr>
              <w:t>$</w:t>
            </w:r>
          </w:p>
        </w:tc>
        <w:tc>
          <w:tcPr>
            <w:tcW w:w="1106" w:type="dxa"/>
            <w:tcBorders/>
            <w:shd w:fill="CCEEFF" w:val="clear"/>
            <w:vAlign w:val="center"/>
          </w:tcPr>
          <w:p>
            <w:pPr>
              <w:pStyle w:val="TableContents"/>
              <w:bidi w:val="0"/>
              <w:spacing w:before="0" w:after="283"/>
              <w:jc w:val="right"/>
              <w:rPr>
                <w:b/>
              </w:rPr>
            </w:pPr>
            <w:r>
              <w:rPr>
                <w:b/>
              </w:rPr>
              <w:t>(15,000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6,544,298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2,076,469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38,207,918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b/>
              </w:rPr>
            </w:pPr>
            <w:r>
              <w:rPr>
                <w:b/>
              </w:rPr>
              <w:t>$</w:t>
            </w:r>
          </w:p>
        </w:tc>
        <w:tc>
          <w:tcPr>
            <w:tcW w:w="1356" w:type="dxa"/>
            <w:tcBorders/>
            <w:shd w:fill="CCEEFF" w:val="clear"/>
            <w:vAlign w:val="center"/>
          </w:tcPr>
          <w:p>
            <w:pPr>
              <w:pStyle w:val="TableContents"/>
              <w:bidi w:val="0"/>
              <w:spacing w:before="0" w:after="283"/>
              <w:jc w:val="right"/>
              <w:rPr>
                <w:b/>
              </w:rPr>
            </w:pPr>
            <w:r>
              <w:rPr>
                <w:b/>
              </w:rPr>
              <w:t>(1,397,475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45,432,735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b/>
              </w:rPr>
            </w:pPr>
            <w:r>
              <w:rPr>
                <w:b/>
              </w:rPr>
              <w:t>$</w:t>
            </w:r>
          </w:p>
        </w:tc>
        <w:tc>
          <w:tcPr>
            <w:tcW w:w="941" w:type="dxa"/>
            <w:tcBorders/>
            <w:shd w:fill="CCEEFF" w:val="clear"/>
            <w:vAlign w:val="center"/>
          </w:tcPr>
          <w:p>
            <w:pPr>
              <w:pStyle w:val="TableContents"/>
              <w:bidi w:val="0"/>
              <w:spacing w:before="0" w:after="283"/>
              <w:jc w:val="right"/>
              <w:rPr>
                <w:b/>
              </w:rPr>
            </w:pPr>
            <w:r>
              <w:rPr>
                <w:b/>
              </w:rPr>
              <w:t>24,765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45,457,500</w:t>
            </w:r>
          </w:p>
        </w:tc>
        <w:tc>
          <w:tcPr>
            <w:tcW w:w="110" w:type="dxa"/>
            <w:tcBorders/>
            <w:shd w:fill="CCEEFF" w:val="clear"/>
            <w:vAlign w:val="center"/>
          </w:tcPr>
          <w:p>
            <w:pPr>
              <w:pStyle w:val="TableContents"/>
              <w:bidi w:val="0"/>
              <w:spacing w:before="0" w:after="283"/>
              <w:jc w:val="left"/>
              <w:rPr/>
            </w:pPr>
            <w:r>
              <w:rPr/>
              <w:t> </w:t>
            </w:r>
            <w:bookmarkStart w:id="168" w:name="xdx_401_ecustom--StockIssuedDuringPeriod"/>
            <w:bookmarkEnd w:id="168"/>
          </w:p>
        </w:tc>
      </w:tr>
      <w:tr>
        <w:trPr/>
        <w:tc>
          <w:tcPr>
            <w:tcW w:w="1490" w:type="dxa"/>
            <w:tcBorders/>
            <w:shd w:fill="FFFFFF" w:val="clear"/>
            <w:vAlign w:val="center"/>
          </w:tcPr>
          <w:p>
            <w:pPr>
              <w:pStyle w:val="TableContents"/>
              <w:bidi w:val="0"/>
              <w:spacing w:before="0" w:after="283"/>
              <w:jc w:val="left"/>
              <w:rPr/>
            </w:pPr>
            <w:r>
              <w:rPr/>
              <w:t>Shares re-designated and re-classified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9" w:name="xdx_989_ecustom--StockIssuedDuringPeriod"/>
            <w:bookmarkEnd w:id="169"/>
          </w:p>
        </w:tc>
        <w:tc>
          <w:tcPr>
            <w:tcW w:w="1175" w:type="dxa"/>
            <w:tcBorders/>
            <w:shd w:fill="FFFFFF" w:val="clear"/>
            <w:vAlign w:val="center"/>
          </w:tcPr>
          <w:p>
            <w:pPr>
              <w:pStyle w:val="TableContents"/>
              <w:bidi w:val="0"/>
              <w:spacing w:before="0" w:after="283"/>
              <w:jc w:val="right"/>
              <w:rPr/>
            </w:pPr>
            <w:r>
              <w:rPr/>
              <w:t>(17,025,000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(17,025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E_ecustom--StockIssuedDuringPeriod"/>
            <w:bookmarkEnd w:id="170"/>
          </w:p>
        </w:tc>
        <w:tc>
          <w:tcPr>
            <w:tcW w:w="980" w:type="dxa"/>
            <w:tcBorders/>
            <w:shd w:fill="FFFFFF" w:val="clear"/>
            <w:vAlign w:val="center"/>
          </w:tcPr>
          <w:p>
            <w:pPr>
              <w:pStyle w:val="TableContents"/>
              <w:bidi w:val="0"/>
              <w:spacing w:before="0" w:after="283"/>
              <w:jc w:val="right"/>
              <w:rPr/>
            </w:pPr>
            <w:r>
              <w:rPr/>
              <w:t>4,315,000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4,315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 w:name="xdx_987_ecustom--StockIssuedDuringPeriod"/>
            <w:bookmarkEnd w:id="171"/>
          </w:p>
        </w:tc>
        <w:tc>
          <w:tcPr>
            <w:tcW w:w="1100" w:type="dxa"/>
            <w:tcBorders/>
            <w:shd w:fill="FFFFFF" w:val="clear"/>
            <w:vAlign w:val="center"/>
          </w:tcPr>
          <w:p>
            <w:pPr>
              <w:pStyle w:val="TableContents"/>
              <w:bidi w:val="0"/>
              <w:spacing w:before="0" w:after="283"/>
              <w:jc w:val="right"/>
              <w:rPr/>
            </w:pPr>
            <w:r>
              <w:rPr/>
              <w:t>12,710,000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2" w:name="xdx_409_ecustom--AdjustmentsToAdditional"/>
            <w:bookmarkEnd w:id="172"/>
          </w:p>
        </w:tc>
      </w:tr>
      <w:tr>
        <w:trPr/>
        <w:tc>
          <w:tcPr>
            <w:tcW w:w="1490" w:type="dxa"/>
            <w:tcBorders/>
            <w:shd w:fill="CCEEFF" w:val="clear"/>
            <w:vAlign w:val="center"/>
          </w:tcPr>
          <w:p>
            <w:pPr>
              <w:pStyle w:val="TableContents"/>
              <w:bidi w:val="0"/>
              <w:spacing w:before="0" w:after="283"/>
              <w:jc w:val="left"/>
              <w:rPr/>
            </w:pPr>
            <w:r>
              <w:rPr/>
              <w:t>Purchase of 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(35,408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(52,885</w:t>
            </w:r>
          </w:p>
        </w:tc>
        <w:tc>
          <w:tcPr>
            <w:tcW w:w="110" w:type="dxa"/>
            <w:tcBorders/>
            <w:shd w:fill="CCEEFF" w:val="clear"/>
            <w:vAlign w:val="center"/>
          </w:tcPr>
          <w:p>
            <w:pPr>
              <w:pStyle w:val="TableContents"/>
              <w:bidi w:val="0"/>
              <w:spacing w:before="0" w:after="283"/>
              <w:jc w:val="left"/>
              <w:rPr/>
            </w:pPr>
            <w:r>
              <w:rPr/>
              <w:t>)</w:t>
            </w:r>
            <w:bookmarkStart w:id="173" w:name="xdx_40D_eus-gaap--ProfitLoss_zK79Fb7UMxA"/>
            <w:bookmarkEnd w:id="173"/>
          </w:p>
        </w:tc>
      </w:tr>
      <w:tr>
        <w:trPr/>
        <w:tc>
          <w:tcPr>
            <w:tcW w:w="14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(1,836,739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(1,836,739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(1,836,739</w:t>
            </w:r>
          </w:p>
        </w:tc>
        <w:tc>
          <w:tcPr>
            <w:tcW w:w="110" w:type="dxa"/>
            <w:tcBorders/>
            <w:shd w:fill="FFFFFF" w:val="clear"/>
            <w:vAlign w:val="center"/>
          </w:tcPr>
          <w:p>
            <w:pPr>
              <w:pStyle w:val="TableContents"/>
              <w:bidi w:val="0"/>
              <w:spacing w:before="0" w:after="283"/>
              <w:jc w:val="left"/>
              <w:rPr/>
            </w:pPr>
            <w:r>
              <w:rPr/>
              <w:t>)</w:t>
            </w:r>
            <w:bookmarkStart w:id="174" w:name="xdx_407_ecustom--StockIssuedDuringPeriod"/>
            <w:bookmarkEnd w:id="174"/>
          </w:p>
        </w:tc>
      </w:tr>
      <w:tr>
        <w:trPr/>
        <w:tc>
          <w:tcPr>
            <w:tcW w:w="1490" w:type="dxa"/>
            <w:tcBorders/>
            <w:shd w:fill="CCEEFF" w:val="clear"/>
            <w:vAlign w:val="center"/>
          </w:tcPr>
          <w:p>
            <w:pPr>
              <w:pStyle w:val="TableContents"/>
              <w:bidi w:val="0"/>
              <w:spacing w:before="0" w:after="283"/>
              <w:jc w:val="left"/>
              <w:rPr/>
            </w:pPr>
            <w:r>
              <w:rPr/>
              <w:t>Appropriation to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516,173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(516,173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75" w:name="xdx_402_eus-gaap--DividendsCash_iN_di_zC"/>
            <w:bookmarkEnd w:id="175"/>
          </w:p>
        </w:tc>
      </w:tr>
      <w:tr>
        <w:trPr/>
        <w:tc>
          <w:tcPr>
            <w:tcW w:w="1490" w:type="dxa"/>
            <w:tcBorders/>
            <w:shd w:fill="FFFFFF" w:val="clear"/>
            <w:vAlign w:val="center"/>
          </w:tcPr>
          <w:p>
            <w:pPr>
              <w:pStyle w:val="TableContents"/>
              <w:bidi w:val="0"/>
              <w:spacing w:before="0" w:after="283"/>
              <w:jc w:val="left"/>
              <w:rPr/>
            </w:pPr>
            <w:r>
              <w:rPr/>
              <w:t>Cash dividends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(70,142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(70,142</w:t>
            </w:r>
          </w:p>
        </w:tc>
        <w:tc>
          <w:tcPr>
            <w:tcW w:w="110" w:type="dxa"/>
            <w:tcBorders/>
            <w:shd w:fill="FFFFFF" w:val="clear"/>
            <w:vAlign w:val="center"/>
          </w:tcPr>
          <w:p>
            <w:pPr>
              <w:pStyle w:val="TableContents"/>
              <w:bidi w:val="0"/>
              <w:spacing w:before="0" w:after="283"/>
              <w:jc w:val="left"/>
              <w:rPr/>
            </w:pPr>
            <w:r>
              <w:rPr/>
              <w:t>)</w:t>
            </w:r>
            <w:bookmarkStart w:id="176" w:name="xdx_405_eus-gaap--OtherComprehensiveInco"/>
            <w:bookmarkEnd w:id="176"/>
          </w:p>
        </w:tc>
      </w:tr>
      <w:tr>
        <w:trPr/>
        <w:tc>
          <w:tcPr>
            <w:tcW w:w="149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8" w:space="0" w:color="000000"/>
            </w:tcBorders>
            <w:shd w:fill="CCEEFF" w:val="clear"/>
            <w:tcMar>
              <w:bottom w:w="28" w:type="dxa"/>
            </w:tcMar>
            <w:vAlign w:val="center"/>
          </w:tcPr>
          <w:p>
            <w:pPr>
              <w:pStyle w:val="TableContents"/>
              <w:bidi w:val="0"/>
              <w:spacing w:before="0" w:after="283"/>
              <w:jc w:val="right"/>
              <w:rPr/>
            </w:pPr>
            <w:r>
              <w:rPr/>
              <w:t>1,067,768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1,067,768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10,643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1,078,411</w:t>
            </w:r>
          </w:p>
        </w:tc>
        <w:tc>
          <w:tcPr>
            <w:tcW w:w="110" w:type="dxa"/>
            <w:tcBorders/>
            <w:shd w:fill="CCEEFF" w:val="clear"/>
            <w:vAlign w:val="center"/>
          </w:tcPr>
          <w:p>
            <w:pPr>
              <w:pStyle w:val="TableContents"/>
              <w:bidi w:val="0"/>
              <w:spacing w:before="0" w:after="283"/>
              <w:jc w:val="left"/>
              <w:rPr/>
            </w:pPr>
            <w:r>
              <w:rPr/>
              <w:t> </w:t>
            </w:r>
            <w:bookmarkStart w:id="177" w:name="xdx_43A_c20251001__20260331_eus-gaap--St"/>
            <w:bookmarkEnd w:id="177"/>
          </w:p>
        </w:tc>
      </w:tr>
      <w:tr>
        <w:trPr/>
        <w:tc>
          <w:tcPr>
            <w:tcW w:w="1490" w:type="dxa"/>
            <w:tcBorders/>
            <w:shd w:fill="FFFFFF" w:val="clear"/>
            <w:vAlign w:val="center"/>
          </w:tcPr>
          <w:p>
            <w:pPr>
              <w:pStyle w:val="TableContents"/>
              <w:bidi w:val="0"/>
              <w:spacing w:before="0" w:after="283"/>
              <w:jc w:val="left"/>
              <w:rPr>
                <w:b/>
              </w:rPr>
            </w:pPr>
            <w:r>
              <w:rPr>
                <w:b/>
              </w:rPr>
              <w:t>Balance as of March 31, 2026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8" w:name="xdx_98D_eus-gaap--SharesOutstanding_iE_p"/>
            <w:bookmarkEnd w:id="178"/>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9" w:name="xdx_988_eus-gaap--SharesOutstanding_iE_p"/>
            <w:bookmarkEnd w:id="17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0" w:name="xdx_980_eus-gaap--SharesOutstanding_iE_p"/>
            <w:bookmarkEnd w:id="18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6,526,821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2,592,642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35,784,864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(329,707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44,576,145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44,576,145</w:t>
            </w:r>
          </w:p>
        </w:tc>
        <w:tc>
          <w:tcPr>
            <w:tcW w:w="110" w:type="dxa"/>
            <w:tcBorders/>
            <w:shd w:fill="FFFFFF" w:val="clear"/>
            <w:vAlign w:val="center"/>
          </w:tcPr>
          <w:p>
            <w:pPr>
              <w:pStyle w:val="TableContents"/>
              <w:bidi w:val="0"/>
              <w:spacing w:before="0" w:after="283"/>
              <w:jc w:val="left"/>
              <w:rPr/>
            </w:pPr>
            <w:r>
              <w:rPr/>
              <w:t> </w:t>
            </w:r>
            <w:bookmarkStart w:id="181" w:name="xdx_433_c20251001__20260331_eus-gaap--St"/>
            <w:bookmarkEnd w:id="181"/>
          </w:p>
        </w:tc>
      </w:tr>
      <w:tr>
        <w:trPr/>
        <w:tc>
          <w:tcPr>
            <w:tcW w:w="1490" w:type="dxa"/>
            <w:tcBorders/>
            <w:shd w:fill="FFFFFF" w:val="clear"/>
            <w:vAlign w:val="center"/>
          </w:tcPr>
          <w:p>
            <w:pPr>
              <w:pStyle w:val="TableContents"/>
              <w:bidi w:val="0"/>
              <w:spacing w:before="0" w:after="283"/>
              <w:jc w:val="left"/>
              <w:rPr>
                <w:b/>
              </w:rPr>
            </w:pPr>
            <w:r>
              <w:rPr>
                <w:b/>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2" w:name="xdx_98E_eus-gaap--SharesOutstanding_iE_p"/>
            <w:bookmarkEnd w:id="182"/>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 w:name="xdx_98E_eus-gaap--SharesOutstanding_iE_p"/>
            <w:bookmarkEnd w:id="18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4" w:name="xdx_98B_eus-gaap--SharesOutstanding_iE_p"/>
            <w:bookmarkEnd w:id="184"/>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6,526,821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2,592,642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35,784,864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(329,707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44,576,145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44,576,145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5" w:name="Y-004"/>
      <w:bookmarkEnd w:id="185"/>
      <w:r>
        <w:rPr>
          <w:rFonts w:ascii="Times New Roman;Times;Serif" w:hAnsi="Times New Roman;Times;Serif"/>
          <w:b/>
          <w:i w:val="false"/>
          <w:caps w:val="false"/>
          <w:smallCaps w:val="false"/>
          <w:sz w:val="20"/>
        </w:rPr>
        <w:t>LEISHEN ENERGY HOLDING CO., LTD.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6" w:name="xdx_305_112_zUXrE0RxMsEl"/>
      <w:bookmarkStart w:id="187" w:name="xdx_305_112_zUXrE0RxMsEl"/>
      <w:bookmarkEnd w:id="187"/>
    </w:p>
    <w:tbl>
      <w:tblPr>
        <w:tblW w:w="10205" w:type="dxa"/>
        <w:jc w:val="left"/>
        <w:tblInd w:w="0" w:type="dxa"/>
        <w:tblLayout w:type="fixed"/>
        <w:tblCellMar>
          <w:top w:w="0" w:type="dxa"/>
          <w:left w:w="0" w:type="dxa"/>
          <w:bottom w:w="0" w:type="dxa"/>
          <w:right w:w="0" w:type="dxa"/>
        </w:tblCellMar>
      </w:tblPr>
      <w:tblGrid>
        <w:gridCol w:w="7056"/>
        <w:gridCol w:w="60"/>
        <w:gridCol w:w="149"/>
        <w:gridCol w:w="1257"/>
        <w:gridCol w:w="101"/>
        <w:gridCol w:w="64"/>
        <w:gridCol w:w="149"/>
        <w:gridCol w:w="1257"/>
        <w:gridCol w:w="112"/>
      </w:tblGrid>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95_20251001__20260331_zamv9MWj4sO7"/>
            <w:bookmarkEnd w:id="188"/>
          </w:p>
        </w:tc>
        <w:tc>
          <w:tcPr>
            <w:tcW w:w="14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189" w:name="xdx_491_20241001__20250331_zuBVoMNGkGv8"/>
            <w:bookmarkEnd w:id="189"/>
          </w:p>
        </w:tc>
        <w:tc>
          <w:tcPr>
            <w:tcW w:w="14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112" w:type="dxa"/>
            <w:tcBorders/>
            <w:vAlign w:val="center"/>
          </w:tcPr>
          <w:p>
            <w:pPr>
              <w:pStyle w:val="TableContents"/>
              <w:bidi w:val="0"/>
              <w:spacing w:before="0" w:after="283"/>
              <w:jc w:val="left"/>
              <w:rPr/>
            </w:pPr>
            <w:r>
              <w:rPr/>
              <w:t> </w:t>
            </w:r>
          </w:p>
        </w:tc>
      </w:tr>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0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(Unaudited)</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center"/>
              <w:rPr>
                <w:b/>
              </w:rPr>
            </w:pPr>
            <w:r>
              <w:rPr>
                <w:b/>
              </w:rPr>
              <w:t>(Unaudited)</w:t>
            </w:r>
          </w:p>
        </w:tc>
        <w:tc>
          <w:tcPr>
            <w:tcW w:w="112" w:type="dxa"/>
            <w:tcBorders/>
            <w:vAlign w:val="center"/>
          </w:tcPr>
          <w:p>
            <w:pPr>
              <w:pStyle w:val="TableContents"/>
              <w:bidi w:val="0"/>
              <w:spacing w:before="0" w:after="283"/>
              <w:jc w:val="left"/>
              <w:rPr/>
            </w:pPr>
            <w:r>
              <w:rPr/>
              <w:t> </w:t>
            </w:r>
            <w:bookmarkStart w:id="190" w:name="xdx_40E_eus-gaap--NetCashProvidedByUsedI"/>
            <w:bookmarkEnd w:id="190"/>
          </w:p>
        </w:tc>
      </w:tr>
      <w:tr>
        <w:trPr/>
        <w:tc>
          <w:tcPr>
            <w:tcW w:w="7056"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1" w:name="xdx_402_eus-gaap--ProfitLoss_i01_maNCPBU"/>
            <w:bookmarkEnd w:id="191"/>
          </w:p>
        </w:tc>
      </w:tr>
      <w:tr>
        <w:trPr/>
        <w:tc>
          <w:tcPr>
            <w:tcW w:w="705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(1,836,739</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(968,655</w:t>
            </w:r>
          </w:p>
        </w:tc>
        <w:tc>
          <w:tcPr>
            <w:tcW w:w="112" w:type="dxa"/>
            <w:tcBorders/>
            <w:shd w:fill="FFFFFF" w:val="clear"/>
            <w:vAlign w:val="center"/>
          </w:tcPr>
          <w:p>
            <w:pPr>
              <w:pStyle w:val="TableContents"/>
              <w:bidi w:val="0"/>
              <w:spacing w:before="0" w:after="283"/>
              <w:jc w:val="left"/>
              <w:rPr/>
            </w:pPr>
            <w:r>
              <w:rPr/>
              <w:t>)</w:t>
            </w:r>
            <w:bookmarkStart w:id="192" w:name="xdx_406_eus-gaap--AdjustmentsToReconcile"/>
            <w:bookmarkEnd w:id="192"/>
          </w:p>
        </w:tc>
      </w:tr>
      <w:tr>
        <w:trPr/>
        <w:tc>
          <w:tcPr>
            <w:tcW w:w="7056" w:type="dxa"/>
            <w:tcBorders/>
            <w:shd w:fill="CCEEFF" w:val="clear"/>
            <w:vAlign w:val="center"/>
          </w:tcPr>
          <w:p>
            <w:pPr>
              <w:pStyle w:val="TableContents"/>
              <w:bidi w:val="0"/>
              <w:spacing w:before="0" w:after="283"/>
              <w:jc w:val="left"/>
              <w:rPr/>
            </w:pPr>
            <w:r>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3" w:name="xdx_409_eus-gaap--DepreciationAndAmortiz"/>
            <w:bookmarkEnd w:id="193"/>
          </w:p>
        </w:tc>
      </w:tr>
      <w:tr>
        <w:trPr/>
        <w:tc>
          <w:tcPr>
            <w:tcW w:w="7056"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263,827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236,414</w:t>
            </w:r>
          </w:p>
        </w:tc>
        <w:tc>
          <w:tcPr>
            <w:tcW w:w="112" w:type="dxa"/>
            <w:tcBorders/>
            <w:shd w:fill="FFFFFF" w:val="clear"/>
            <w:vAlign w:val="center"/>
          </w:tcPr>
          <w:p>
            <w:pPr>
              <w:pStyle w:val="TableContents"/>
              <w:bidi w:val="0"/>
              <w:spacing w:before="0" w:after="283"/>
              <w:jc w:val="left"/>
              <w:rPr/>
            </w:pPr>
            <w:r>
              <w:rPr/>
              <w:t> </w:t>
            </w:r>
            <w:bookmarkStart w:id="194" w:name="xdx_40E_eus-gaap--GainLossOnDispositionO"/>
            <w:bookmarkEnd w:id="194"/>
          </w:p>
        </w:tc>
      </w:tr>
      <w:tr>
        <w:trPr/>
        <w:tc>
          <w:tcPr>
            <w:tcW w:w="7056" w:type="dxa"/>
            <w:tcBorders/>
            <w:shd w:fill="CCEEFF" w:val="clear"/>
            <w:vAlign w:val="center"/>
          </w:tcPr>
          <w:p>
            <w:pPr>
              <w:pStyle w:val="TableContents"/>
              <w:bidi w:val="0"/>
              <w:spacing w:before="0" w:after="283"/>
              <w:jc w:val="left"/>
              <w:rPr/>
            </w:pPr>
            <w:r>
              <w:rPr/>
              <w:t>Loss (gain)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288,176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(116,311</w:t>
            </w:r>
          </w:p>
        </w:tc>
        <w:tc>
          <w:tcPr>
            <w:tcW w:w="112" w:type="dxa"/>
            <w:tcBorders/>
            <w:shd w:fill="CCEEFF" w:val="clear"/>
            <w:vAlign w:val="center"/>
          </w:tcPr>
          <w:p>
            <w:pPr>
              <w:pStyle w:val="TableContents"/>
              <w:bidi w:val="0"/>
              <w:spacing w:before="0" w:after="283"/>
              <w:jc w:val="left"/>
              <w:rPr/>
            </w:pPr>
            <w:r>
              <w:rPr/>
              <w:t>)</w:t>
            </w:r>
            <w:bookmarkStart w:id="195" w:name="xdx_40C_eus-gaap--DebtAndEquitySecuritie"/>
            <w:bookmarkEnd w:id="195"/>
          </w:p>
        </w:tc>
      </w:tr>
      <w:tr>
        <w:trPr/>
        <w:tc>
          <w:tcPr>
            <w:tcW w:w="7056" w:type="dxa"/>
            <w:tcBorders/>
            <w:shd w:fill="FFFFFF" w:val="clear"/>
            <w:vAlign w:val="center"/>
          </w:tcPr>
          <w:p>
            <w:pPr>
              <w:pStyle w:val="TableContents"/>
              <w:bidi w:val="0"/>
              <w:spacing w:before="0" w:after="283"/>
              <w:jc w:val="left"/>
              <w:rPr/>
            </w:pPr>
            <w:r>
              <w:rPr/>
              <w:t>Unrealized net investment loss (gain) from short-term investments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1,121,746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(826,153</w:t>
            </w:r>
          </w:p>
        </w:tc>
        <w:tc>
          <w:tcPr>
            <w:tcW w:w="112" w:type="dxa"/>
            <w:tcBorders/>
            <w:shd w:fill="FFFFFF" w:val="clear"/>
            <w:vAlign w:val="center"/>
          </w:tcPr>
          <w:p>
            <w:pPr>
              <w:pStyle w:val="TableContents"/>
              <w:bidi w:val="0"/>
              <w:spacing w:before="0" w:after="283"/>
              <w:jc w:val="left"/>
              <w:rPr/>
            </w:pPr>
            <w:r>
              <w:rPr/>
              <w:t>)</w:t>
            </w:r>
            <w:bookmarkStart w:id="196" w:name="xdx_40B_ecustom--ProvisionForExpectedCre"/>
            <w:bookmarkEnd w:id="196"/>
          </w:p>
        </w:tc>
      </w:tr>
      <w:tr>
        <w:trPr/>
        <w:tc>
          <w:tcPr>
            <w:tcW w:w="7056" w:type="dxa"/>
            <w:tcBorders/>
            <w:shd w:fill="CCEEFF" w:val="clear"/>
            <w:vAlign w:val="center"/>
          </w:tcPr>
          <w:p>
            <w:pPr>
              <w:pStyle w:val="TableContents"/>
              <w:bidi w:val="0"/>
              <w:spacing w:before="0" w:after="283"/>
              <w:jc w:val="left"/>
              <w:rPr/>
            </w:pPr>
            <w:r>
              <w:rPr/>
              <w:t>Provision for credit losses of receivables and advances to suppliers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2,145,919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3,317,683</w:t>
            </w:r>
          </w:p>
        </w:tc>
        <w:tc>
          <w:tcPr>
            <w:tcW w:w="112" w:type="dxa"/>
            <w:tcBorders/>
            <w:shd w:fill="CCEEFF" w:val="clear"/>
            <w:vAlign w:val="center"/>
          </w:tcPr>
          <w:p>
            <w:pPr>
              <w:pStyle w:val="TableContents"/>
              <w:bidi w:val="0"/>
              <w:spacing w:before="0" w:after="283"/>
              <w:jc w:val="left"/>
              <w:rPr/>
            </w:pPr>
            <w:r>
              <w:rPr/>
              <w:t> </w:t>
            </w:r>
            <w:bookmarkStart w:id="197" w:name="xdx_40A_eus-gaap--GainLossOnInvestments_"/>
            <w:bookmarkEnd w:id="197"/>
          </w:p>
        </w:tc>
      </w:tr>
      <w:tr>
        <w:trPr/>
        <w:tc>
          <w:tcPr>
            <w:tcW w:w="7056" w:type="dxa"/>
            <w:tcBorders/>
            <w:shd w:fill="FFFFFF" w:val="clear"/>
            <w:vAlign w:val="center"/>
          </w:tcPr>
          <w:p>
            <w:pPr>
              <w:pStyle w:val="TableContents"/>
              <w:bidi w:val="0"/>
              <w:spacing w:before="0" w:after="283"/>
              <w:jc w:val="left"/>
              <w:rPr/>
            </w:pPr>
            <w:r>
              <w:rPr/>
              <w:t>Income from equity investment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(171,368</w:t>
            </w:r>
          </w:p>
        </w:tc>
        <w:tc>
          <w:tcPr>
            <w:tcW w:w="112" w:type="dxa"/>
            <w:tcBorders/>
            <w:shd w:fill="FFFFFF" w:val="clear"/>
            <w:vAlign w:val="center"/>
          </w:tcPr>
          <w:p>
            <w:pPr>
              <w:pStyle w:val="TableContents"/>
              <w:bidi w:val="0"/>
              <w:spacing w:before="0" w:after="283"/>
              <w:jc w:val="left"/>
              <w:rPr/>
            </w:pPr>
            <w:r>
              <w:rPr/>
              <w:t>)</w:t>
            </w:r>
            <w:bookmarkStart w:id="198" w:name="xdx_405_ecustom--NoncashLeaseExpense_i02"/>
            <w:bookmarkEnd w:id="198"/>
          </w:p>
        </w:tc>
      </w:tr>
      <w:tr>
        <w:trPr/>
        <w:tc>
          <w:tcPr>
            <w:tcW w:w="7056"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41,067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28,670</w:t>
            </w:r>
          </w:p>
        </w:tc>
        <w:tc>
          <w:tcPr>
            <w:tcW w:w="112" w:type="dxa"/>
            <w:tcBorders/>
            <w:shd w:fill="CCEEFF" w:val="clear"/>
            <w:vAlign w:val="center"/>
          </w:tcPr>
          <w:p>
            <w:pPr>
              <w:pStyle w:val="TableContents"/>
              <w:bidi w:val="0"/>
              <w:spacing w:before="0" w:after="283"/>
              <w:jc w:val="left"/>
              <w:rPr/>
            </w:pPr>
            <w:r>
              <w:rPr/>
              <w:t> </w:t>
            </w:r>
            <w:bookmarkStart w:id="199" w:name="xdx_40E_eus-gaap--DeferredIncomeTaxExpen"/>
            <w:bookmarkEnd w:id="199"/>
          </w:p>
        </w:tc>
      </w:tr>
      <w:tr>
        <w:trPr/>
        <w:tc>
          <w:tcPr>
            <w:tcW w:w="7056" w:type="dxa"/>
            <w:tcBorders/>
            <w:shd w:fill="FFFFFF" w:val="clear"/>
            <w:vAlign w:val="center"/>
          </w:tcPr>
          <w:p>
            <w:pPr>
              <w:pStyle w:val="TableContents"/>
              <w:bidi w:val="0"/>
              <w:spacing w:before="0" w:after="283"/>
              <w:jc w:val="left"/>
              <w:rPr/>
            </w:pPr>
            <w:r>
              <w:rPr/>
              <w:t>Deferred income tax</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(148,385</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55,422</w:t>
            </w:r>
          </w:p>
        </w:tc>
        <w:tc>
          <w:tcPr>
            <w:tcW w:w="112" w:type="dxa"/>
            <w:tcBorders/>
            <w:shd w:fill="FFFFFF" w:val="clear"/>
            <w:vAlign w:val="center"/>
          </w:tcPr>
          <w:p>
            <w:pPr>
              <w:pStyle w:val="TableContents"/>
              <w:bidi w:val="0"/>
              <w:spacing w:before="0" w:after="283"/>
              <w:jc w:val="left"/>
              <w:rPr/>
            </w:pPr>
            <w:r>
              <w:rPr/>
              <w:t> </w:t>
            </w:r>
            <w:bookmarkStart w:id="200" w:name="xdx_40F_eus-gaap--IncreaseDecreaseInOper"/>
            <w:bookmarkEnd w:id="200"/>
          </w:p>
        </w:tc>
      </w:tr>
      <w:tr>
        <w:trPr/>
        <w:tc>
          <w:tcPr>
            <w:tcW w:w="7056"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1" w:name="xdx_401_eus-gaap--IncreaseDecreaseInAcco"/>
            <w:bookmarkEnd w:id="201"/>
          </w:p>
        </w:tc>
      </w:tr>
      <w:tr>
        <w:trPr/>
        <w:tc>
          <w:tcPr>
            <w:tcW w:w="705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(2,272,915</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(1,688,477</w:t>
            </w:r>
          </w:p>
        </w:tc>
        <w:tc>
          <w:tcPr>
            <w:tcW w:w="112" w:type="dxa"/>
            <w:tcBorders/>
            <w:shd w:fill="FFFFFF" w:val="clear"/>
            <w:vAlign w:val="center"/>
          </w:tcPr>
          <w:p>
            <w:pPr>
              <w:pStyle w:val="TableContents"/>
              <w:bidi w:val="0"/>
              <w:spacing w:before="0" w:after="283"/>
              <w:jc w:val="left"/>
              <w:rPr/>
            </w:pPr>
            <w:r>
              <w:rPr/>
              <w:t>)</w:t>
            </w:r>
            <w:bookmarkStart w:id="202" w:name="xdx_403_eus-gaap--IncreaseDecreaseInNote"/>
            <w:bookmarkEnd w:id="202"/>
          </w:p>
        </w:tc>
      </w:tr>
      <w:tr>
        <w:trPr/>
        <w:tc>
          <w:tcPr>
            <w:tcW w:w="7056" w:type="dxa"/>
            <w:tcBorders/>
            <w:shd w:fill="CCEEFF" w:val="clear"/>
            <w:vAlign w:val="center"/>
          </w:tcPr>
          <w:p>
            <w:pPr>
              <w:pStyle w:val="TableContents"/>
              <w:bidi w:val="0"/>
              <w:spacing w:before="0" w:after="283"/>
              <w:jc w:val="left"/>
              <w:rPr/>
            </w:pPr>
            <w:r>
              <w:rPr/>
              <w:t>Notes receivable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(243,628</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623,613</w:t>
            </w:r>
          </w:p>
        </w:tc>
        <w:tc>
          <w:tcPr>
            <w:tcW w:w="112" w:type="dxa"/>
            <w:tcBorders/>
            <w:shd w:fill="CCEEFF" w:val="clear"/>
            <w:vAlign w:val="center"/>
          </w:tcPr>
          <w:p>
            <w:pPr>
              <w:pStyle w:val="TableContents"/>
              <w:bidi w:val="0"/>
              <w:spacing w:before="0" w:after="283"/>
              <w:jc w:val="left"/>
              <w:rPr/>
            </w:pPr>
            <w:r>
              <w:rPr/>
              <w:t> </w:t>
            </w:r>
            <w:bookmarkStart w:id="203" w:name="xdx_402_ecustom--IncreaseDecreaseInAdvan"/>
            <w:bookmarkEnd w:id="203"/>
          </w:p>
        </w:tc>
      </w:tr>
      <w:tr>
        <w:trPr/>
        <w:tc>
          <w:tcPr>
            <w:tcW w:w="7056" w:type="dxa"/>
            <w:tcBorders/>
            <w:shd w:fill="FFFFFF" w:val="clear"/>
            <w:vAlign w:val="center"/>
          </w:tcPr>
          <w:p>
            <w:pPr>
              <w:pStyle w:val="TableContents"/>
              <w:bidi w:val="0"/>
              <w:spacing w:before="0" w:after="283"/>
              <w:jc w:val="left"/>
              <w:rPr/>
            </w:pPr>
            <w:r>
              <w:rPr/>
              <w:t>Advance to suppliers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(660,631</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(2,176,850</w:t>
            </w:r>
          </w:p>
        </w:tc>
        <w:tc>
          <w:tcPr>
            <w:tcW w:w="112" w:type="dxa"/>
            <w:tcBorders/>
            <w:shd w:fill="FFFFFF" w:val="clear"/>
            <w:vAlign w:val="center"/>
          </w:tcPr>
          <w:p>
            <w:pPr>
              <w:pStyle w:val="TableContents"/>
              <w:bidi w:val="0"/>
              <w:spacing w:before="0" w:after="283"/>
              <w:jc w:val="left"/>
              <w:rPr/>
            </w:pPr>
            <w:r>
              <w:rPr/>
              <w:t>)</w:t>
            </w:r>
            <w:bookmarkStart w:id="204" w:name="xdx_402_eus-gaap--IncreaseDecreaseInInve"/>
            <w:bookmarkEnd w:id="204"/>
          </w:p>
        </w:tc>
      </w:tr>
      <w:tr>
        <w:trPr/>
        <w:tc>
          <w:tcPr>
            <w:tcW w:w="7056"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627,921</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1,609,405</w:t>
            </w:r>
          </w:p>
        </w:tc>
        <w:tc>
          <w:tcPr>
            <w:tcW w:w="112" w:type="dxa"/>
            <w:tcBorders/>
            <w:shd w:fill="CCEEFF" w:val="clear"/>
            <w:vAlign w:val="center"/>
          </w:tcPr>
          <w:p>
            <w:pPr>
              <w:pStyle w:val="TableContents"/>
              <w:bidi w:val="0"/>
              <w:spacing w:before="0" w:after="283"/>
              <w:jc w:val="left"/>
              <w:rPr/>
            </w:pPr>
            <w:r>
              <w:rPr/>
              <w:t> </w:t>
            </w:r>
            <w:bookmarkStart w:id="205" w:name="xdx_40B_eus-gaap--IncreaseDecreaseInDueF"/>
            <w:bookmarkEnd w:id="205"/>
          </w:p>
        </w:tc>
      </w:tr>
      <w:tr>
        <w:trPr/>
        <w:tc>
          <w:tcPr>
            <w:tcW w:w="7056" w:type="dxa"/>
            <w:tcBorders/>
            <w:shd w:fill="FFFFFF" w:val="clear"/>
            <w:vAlign w:val="center"/>
          </w:tcPr>
          <w:p>
            <w:pPr>
              <w:pStyle w:val="TableContents"/>
              <w:bidi w:val="0"/>
              <w:spacing w:before="0" w:after="283"/>
              <w:jc w:val="left"/>
              <w:rPr/>
            </w:pPr>
            <w:r>
              <w:rPr/>
              <w:t>Due from related parties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(27,636</w:t>
            </w:r>
          </w:p>
        </w:tc>
        <w:tc>
          <w:tcPr>
            <w:tcW w:w="112" w:type="dxa"/>
            <w:tcBorders/>
            <w:shd w:fill="FFFFFF" w:val="clear"/>
            <w:vAlign w:val="center"/>
          </w:tcPr>
          <w:p>
            <w:pPr>
              <w:pStyle w:val="TableContents"/>
              <w:bidi w:val="0"/>
              <w:spacing w:before="0" w:after="283"/>
              <w:jc w:val="left"/>
              <w:rPr/>
            </w:pPr>
            <w:r>
              <w:rPr/>
              <w:t>)</w:t>
            </w:r>
            <w:bookmarkStart w:id="206" w:name="xdx_406_eus-gaap--IncreaseDecreaseInPrep"/>
            <w:bookmarkEnd w:id="206"/>
          </w:p>
        </w:tc>
      </w:tr>
      <w:tr>
        <w:trPr/>
        <w:tc>
          <w:tcPr>
            <w:tcW w:w="7056"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(523,355</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93,910</w:t>
            </w:r>
          </w:p>
        </w:tc>
        <w:tc>
          <w:tcPr>
            <w:tcW w:w="112" w:type="dxa"/>
            <w:tcBorders/>
            <w:shd w:fill="CCEEFF" w:val="clear"/>
            <w:vAlign w:val="center"/>
          </w:tcPr>
          <w:p>
            <w:pPr>
              <w:pStyle w:val="TableContents"/>
              <w:bidi w:val="0"/>
              <w:spacing w:before="0" w:after="283"/>
              <w:jc w:val="left"/>
              <w:rPr/>
            </w:pPr>
            <w:r>
              <w:rPr/>
              <w:t> </w:t>
            </w:r>
            <w:bookmarkStart w:id="207" w:name="xdx_404_eus-gaap--IncreaseDecreaseInAcco"/>
            <w:bookmarkEnd w:id="207"/>
          </w:p>
        </w:tc>
      </w:tr>
      <w:tr>
        <w:trPr/>
        <w:tc>
          <w:tcPr>
            <w:tcW w:w="7056"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1,412,546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(2,417,661</w:t>
            </w:r>
          </w:p>
        </w:tc>
        <w:tc>
          <w:tcPr>
            <w:tcW w:w="112" w:type="dxa"/>
            <w:tcBorders/>
            <w:shd w:fill="FFFFFF" w:val="clear"/>
            <w:vAlign w:val="center"/>
          </w:tcPr>
          <w:p>
            <w:pPr>
              <w:pStyle w:val="TableContents"/>
              <w:bidi w:val="0"/>
              <w:spacing w:before="0" w:after="283"/>
              <w:jc w:val="left"/>
              <w:rPr/>
            </w:pPr>
            <w:r>
              <w:rPr/>
              <w:t>)</w:t>
            </w:r>
            <w:bookmarkStart w:id="208" w:name="xdx_400_ecustom--IncreaseDecreaseInAdvan"/>
            <w:bookmarkEnd w:id="208"/>
          </w:p>
        </w:tc>
      </w:tr>
      <w:tr>
        <w:trPr/>
        <w:tc>
          <w:tcPr>
            <w:tcW w:w="7056" w:type="dxa"/>
            <w:tcBorders/>
            <w:shd w:fill="CCEEFF" w:val="clear"/>
            <w:vAlign w:val="center"/>
          </w:tcPr>
          <w:p>
            <w:pPr>
              <w:pStyle w:val="TableContents"/>
              <w:bidi w:val="0"/>
              <w:spacing w:before="0" w:after="283"/>
              <w:jc w:val="left"/>
              <w:rPr/>
            </w:pPr>
            <w:r>
              <w:rPr/>
              <w:t>Advance from customers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(112,513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(937,625</w:t>
            </w:r>
          </w:p>
        </w:tc>
        <w:tc>
          <w:tcPr>
            <w:tcW w:w="112" w:type="dxa"/>
            <w:tcBorders/>
            <w:shd w:fill="CCEEFF" w:val="clear"/>
            <w:vAlign w:val="center"/>
          </w:tcPr>
          <w:p>
            <w:pPr>
              <w:pStyle w:val="TableContents"/>
              <w:bidi w:val="0"/>
              <w:spacing w:before="0" w:after="283"/>
              <w:jc w:val="left"/>
              <w:rPr/>
            </w:pPr>
            <w:r>
              <w:rPr/>
              <w:t>)</w:t>
            </w:r>
            <w:bookmarkStart w:id="209" w:name="xdx_407_eus-gaap--IncreaseDecreaseInAccr"/>
            <w:bookmarkEnd w:id="209"/>
          </w:p>
        </w:tc>
      </w:tr>
      <w:tr>
        <w:trPr/>
        <w:tc>
          <w:tcPr>
            <w:tcW w:w="7056"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735,390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(228,932</w:t>
            </w:r>
          </w:p>
        </w:tc>
        <w:tc>
          <w:tcPr>
            <w:tcW w:w="112" w:type="dxa"/>
            <w:tcBorders/>
            <w:shd w:fill="FFFFFF" w:val="clear"/>
            <w:vAlign w:val="center"/>
          </w:tcPr>
          <w:p>
            <w:pPr>
              <w:pStyle w:val="TableContents"/>
              <w:bidi w:val="0"/>
              <w:spacing w:before="0" w:after="283"/>
              <w:jc w:val="left"/>
              <w:rPr/>
            </w:pPr>
            <w:r>
              <w:rPr/>
              <w:t>)</w:t>
            </w:r>
            <w:bookmarkStart w:id="210" w:name="xdx_40B_eus-gaap--IncreaseDecreaseInDueT"/>
            <w:bookmarkEnd w:id="210"/>
          </w:p>
        </w:tc>
      </w:tr>
      <w:tr>
        <w:trPr/>
        <w:tc>
          <w:tcPr>
            <w:tcW w:w="7056"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(14,626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1,620,234</w:t>
            </w:r>
          </w:p>
        </w:tc>
        <w:tc>
          <w:tcPr>
            <w:tcW w:w="112" w:type="dxa"/>
            <w:tcBorders/>
            <w:shd w:fill="CCEEFF" w:val="clear"/>
            <w:vAlign w:val="center"/>
          </w:tcPr>
          <w:p>
            <w:pPr>
              <w:pStyle w:val="TableContents"/>
              <w:bidi w:val="0"/>
              <w:spacing w:before="0" w:after="283"/>
              <w:jc w:val="left"/>
              <w:rPr/>
            </w:pPr>
            <w:r>
              <w:rPr/>
              <w:t> </w:t>
            </w:r>
            <w:bookmarkStart w:id="211" w:name="xdx_40B_eus-gaap--IncreaseDecreaseInOthe"/>
            <w:bookmarkEnd w:id="211"/>
          </w:p>
        </w:tc>
      </w:tr>
      <w:tr>
        <w:trPr/>
        <w:tc>
          <w:tcPr>
            <w:tcW w:w="7056" w:type="dxa"/>
            <w:tcBorders/>
            <w:shd w:fill="FFFFFF" w:val="clear"/>
            <w:vAlign w:val="center"/>
          </w:tcPr>
          <w:p>
            <w:pPr>
              <w:pStyle w:val="TableContents"/>
              <w:bidi w:val="0"/>
              <w:spacing w:before="0" w:after="283"/>
              <w:jc w:val="left"/>
              <w:rPr/>
            </w:pPr>
            <w:r>
              <w:rPr/>
              <w:t>Other payables and other current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(52,658</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23,817</w:t>
            </w:r>
          </w:p>
        </w:tc>
        <w:tc>
          <w:tcPr>
            <w:tcW w:w="112" w:type="dxa"/>
            <w:tcBorders/>
            <w:shd w:fill="FFFFFF" w:val="clear"/>
            <w:vAlign w:val="center"/>
          </w:tcPr>
          <w:p>
            <w:pPr>
              <w:pStyle w:val="TableContents"/>
              <w:bidi w:val="0"/>
              <w:spacing w:before="0" w:after="283"/>
              <w:jc w:val="left"/>
              <w:rPr/>
            </w:pPr>
            <w:r>
              <w:rPr/>
              <w:t> </w:t>
            </w:r>
            <w:bookmarkStart w:id="212" w:name="xdx_401_eus-gaap--IncreaseDecreaseInOper"/>
            <w:bookmarkEnd w:id="212"/>
          </w:p>
        </w:tc>
      </w:tr>
      <w:tr>
        <w:trPr/>
        <w:tc>
          <w:tcPr>
            <w:tcW w:w="7056"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(41,067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(31,027</w:t>
            </w:r>
          </w:p>
        </w:tc>
        <w:tc>
          <w:tcPr>
            <w:tcW w:w="112" w:type="dxa"/>
            <w:tcBorders/>
            <w:shd w:fill="CCEEFF" w:val="clear"/>
            <w:vAlign w:val="center"/>
          </w:tcPr>
          <w:p>
            <w:pPr>
              <w:pStyle w:val="TableContents"/>
              <w:bidi w:val="0"/>
              <w:spacing w:before="0" w:after="283"/>
              <w:jc w:val="left"/>
              <w:rPr/>
            </w:pPr>
            <w:r>
              <w:rPr/>
              <w:t>)</w:t>
            </w:r>
            <w:bookmarkStart w:id="213" w:name="xdx_409_eus-gaap--NetCashProvidedByUsedI"/>
            <w:bookmarkEnd w:id="213"/>
          </w:p>
        </w:tc>
      </w:tr>
      <w:tr>
        <w:trPr/>
        <w:tc>
          <w:tcPr>
            <w:tcW w:w="7056" w:type="dxa"/>
            <w:tcBorders/>
            <w:shd w:fill="FFFFFF" w:val="clear"/>
            <w:vAlign w:val="center"/>
          </w:tcPr>
          <w:p>
            <w:pPr>
              <w:pStyle w:val="TableContents"/>
              <w:bidi w:val="0"/>
              <w:spacing w:before="0" w:after="283"/>
              <w:jc w:val="left"/>
              <w:rPr>
                <w:b/>
              </w:rPr>
            </w:pPr>
            <w:r>
              <w:rPr>
                <w:b/>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730,075</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(1,981,527</w:t>
            </w:r>
          </w:p>
        </w:tc>
        <w:tc>
          <w:tcPr>
            <w:tcW w:w="112" w:type="dxa"/>
            <w:tcBorders/>
            <w:shd w:fill="FFFFFF" w:val="clear"/>
            <w:vAlign w:val="center"/>
          </w:tcPr>
          <w:p>
            <w:pPr>
              <w:pStyle w:val="TableContents"/>
              <w:bidi w:val="0"/>
              <w:spacing w:before="0" w:after="283"/>
              <w:jc w:val="left"/>
              <w:rPr>
                <w:b/>
              </w:rPr>
            </w:pPr>
            <w:r>
              <w:rPr>
                <w:b/>
              </w:rPr>
              <w:t>)</w:t>
            </w:r>
          </w:p>
        </w:tc>
      </w:tr>
      <w:tr>
        <w:trPr/>
        <w:tc>
          <w:tcPr>
            <w:tcW w:w="70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4" w:name="xdx_407_eus-gaap--NetCashProvidedByUsedI"/>
            <w:bookmarkEnd w:id="214"/>
          </w:p>
        </w:tc>
      </w:tr>
      <w:tr>
        <w:trPr/>
        <w:tc>
          <w:tcPr>
            <w:tcW w:w="7056"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5" w:name="xdx_40A_eus-gaap--PaymentsToAcquireOther"/>
            <w:bookmarkEnd w:id="215"/>
          </w:p>
        </w:tc>
      </w:tr>
      <w:tr>
        <w:trPr/>
        <w:tc>
          <w:tcPr>
            <w:tcW w:w="7056"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(157,843</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(160,561</w:t>
            </w:r>
          </w:p>
        </w:tc>
        <w:tc>
          <w:tcPr>
            <w:tcW w:w="112" w:type="dxa"/>
            <w:tcBorders/>
            <w:shd w:fill="CCEEFF" w:val="clear"/>
            <w:vAlign w:val="center"/>
          </w:tcPr>
          <w:p>
            <w:pPr>
              <w:pStyle w:val="TableContents"/>
              <w:bidi w:val="0"/>
              <w:spacing w:before="0" w:after="283"/>
              <w:jc w:val="left"/>
              <w:rPr/>
            </w:pPr>
            <w:r>
              <w:rPr/>
              <w:t>)</w:t>
            </w:r>
            <w:bookmarkStart w:id="216" w:name="xdx_401_eus-gaap--ProceedsFromSaleOfProp"/>
            <w:bookmarkEnd w:id="216"/>
          </w:p>
        </w:tc>
      </w:tr>
      <w:tr>
        <w:trPr/>
        <w:tc>
          <w:tcPr>
            <w:tcW w:w="7056"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6,414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701,336</w:t>
            </w:r>
          </w:p>
        </w:tc>
        <w:tc>
          <w:tcPr>
            <w:tcW w:w="112" w:type="dxa"/>
            <w:tcBorders/>
            <w:shd w:fill="FFFFFF" w:val="clear"/>
            <w:vAlign w:val="center"/>
          </w:tcPr>
          <w:p>
            <w:pPr>
              <w:pStyle w:val="TableContents"/>
              <w:bidi w:val="0"/>
              <w:spacing w:before="0" w:after="283"/>
              <w:jc w:val="left"/>
              <w:rPr/>
            </w:pPr>
            <w:r>
              <w:rPr/>
              <w:t> </w:t>
            </w:r>
            <w:bookmarkStart w:id="217" w:name="xdx_400_eus-gaap--PaymentsForConstructio"/>
            <w:bookmarkEnd w:id="217"/>
          </w:p>
        </w:tc>
      </w:tr>
      <w:tr>
        <w:trPr/>
        <w:tc>
          <w:tcPr>
            <w:tcW w:w="7056" w:type="dxa"/>
            <w:tcBorders/>
            <w:shd w:fill="CCEEFF" w:val="clear"/>
            <w:vAlign w:val="center"/>
          </w:tcPr>
          <w:p>
            <w:pPr>
              <w:pStyle w:val="TableContents"/>
              <w:bidi w:val="0"/>
              <w:spacing w:before="0" w:after="283"/>
              <w:jc w:val="left"/>
              <w:rPr/>
            </w:pPr>
            <w:r>
              <w:rPr/>
              <w:t>Payments related to construction in progress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(83,881</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18" w:name="xdx_405_ecustom--LoanRepaymentFromRelate"/>
            <w:bookmarkEnd w:id="218"/>
          </w:p>
        </w:tc>
      </w:tr>
      <w:tr>
        <w:trPr/>
        <w:tc>
          <w:tcPr>
            <w:tcW w:w="7056" w:type="dxa"/>
            <w:tcBorders/>
            <w:shd w:fill="FFFFFF" w:val="clear"/>
            <w:vAlign w:val="center"/>
          </w:tcPr>
          <w:p>
            <w:pPr>
              <w:pStyle w:val="TableContents"/>
              <w:bidi w:val="0"/>
              <w:spacing w:before="0" w:after="283"/>
              <w:jc w:val="left"/>
              <w:rPr/>
            </w:pPr>
            <w:r>
              <w:rPr/>
              <w:t>Loan repayment from a related party</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91,904</w:t>
            </w:r>
          </w:p>
        </w:tc>
        <w:tc>
          <w:tcPr>
            <w:tcW w:w="112" w:type="dxa"/>
            <w:tcBorders/>
            <w:shd w:fill="FFFFFF" w:val="clear"/>
            <w:vAlign w:val="center"/>
          </w:tcPr>
          <w:p>
            <w:pPr>
              <w:pStyle w:val="TableContents"/>
              <w:bidi w:val="0"/>
              <w:spacing w:before="0" w:after="283"/>
              <w:jc w:val="left"/>
              <w:rPr/>
            </w:pPr>
            <w:r>
              <w:rPr/>
              <w:t> </w:t>
            </w:r>
            <w:bookmarkStart w:id="219" w:name="xdx_40C_eus-gaap--PaymentsForProceedsFro"/>
            <w:bookmarkEnd w:id="219"/>
          </w:p>
        </w:tc>
      </w:tr>
      <w:tr>
        <w:trPr/>
        <w:tc>
          <w:tcPr>
            <w:tcW w:w="7056" w:type="dxa"/>
            <w:tcBorders/>
            <w:shd w:fill="CCEEFF" w:val="clear"/>
            <w:vAlign w:val="center"/>
          </w:tcPr>
          <w:p>
            <w:pPr>
              <w:pStyle w:val="TableContents"/>
              <w:bidi w:val="0"/>
              <w:spacing w:before="0" w:after="283"/>
              <w:jc w:val="left"/>
              <w:rPr/>
            </w:pPr>
            <w:r>
              <w:rPr/>
              <w:t>Loan to a related party</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(622,364</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20" w:name="xdx_405_ecustom--LoansRepaymentFromThird"/>
            <w:bookmarkEnd w:id="220"/>
          </w:p>
        </w:tc>
      </w:tr>
      <w:tr>
        <w:trPr/>
        <w:tc>
          <w:tcPr>
            <w:tcW w:w="7056" w:type="dxa"/>
            <w:tcBorders/>
            <w:shd w:fill="FFFFFF" w:val="clear"/>
            <w:vAlign w:val="center"/>
          </w:tcPr>
          <w:p>
            <w:pPr>
              <w:pStyle w:val="TableContents"/>
              <w:bidi w:val="0"/>
              <w:spacing w:before="0" w:after="283"/>
              <w:jc w:val="left"/>
              <w:rPr/>
            </w:pPr>
            <w:r>
              <w:rPr/>
              <w:t>Loans repayment from third parties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1,562,188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21" w:name="xdx_405_ecustom--PaymentsForProceedsFrom"/>
            <w:bookmarkEnd w:id="221"/>
          </w:p>
        </w:tc>
      </w:tr>
      <w:tr>
        <w:trPr/>
        <w:tc>
          <w:tcPr>
            <w:tcW w:w="7056" w:type="dxa"/>
            <w:tcBorders/>
            <w:shd w:fill="CCEEFF" w:val="clear"/>
            <w:vAlign w:val="center"/>
          </w:tcPr>
          <w:p>
            <w:pPr>
              <w:pStyle w:val="TableContents"/>
              <w:bidi w:val="0"/>
              <w:spacing w:before="0" w:after="283"/>
              <w:jc w:val="left"/>
              <w:rPr/>
            </w:pPr>
            <w:r>
              <w:rPr/>
              <w:t>Loans to third parties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(1,514,666</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(2,299,751</w:t>
            </w:r>
          </w:p>
        </w:tc>
        <w:tc>
          <w:tcPr>
            <w:tcW w:w="112" w:type="dxa"/>
            <w:tcBorders/>
            <w:shd w:fill="CCEEFF" w:val="clear"/>
            <w:vAlign w:val="center"/>
          </w:tcPr>
          <w:p>
            <w:pPr>
              <w:pStyle w:val="TableContents"/>
              <w:bidi w:val="0"/>
              <w:spacing w:before="0" w:after="283"/>
              <w:jc w:val="left"/>
              <w:rPr/>
            </w:pPr>
            <w:r>
              <w:rPr/>
              <w:t>)</w:t>
            </w:r>
            <w:bookmarkStart w:id="222" w:name="xdx_407_eus-gaap--PaymentsToAcquireShort"/>
            <w:bookmarkEnd w:id="222"/>
          </w:p>
        </w:tc>
      </w:tr>
      <w:tr>
        <w:trPr/>
        <w:tc>
          <w:tcPr>
            <w:tcW w:w="7056" w:type="dxa"/>
            <w:tcBorders/>
            <w:shd w:fill="FFFFFF" w:val="clear"/>
            <w:vAlign w:val="center"/>
          </w:tcPr>
          <w:p>
            <w:pPr>
              <w:pStyle w:val="TableContents"/>
              <w:bidi w:val="0"/>
              <w:spacing w:before="0" w:after="283"/>
              <w:jc w:val="left"/>
              <w:rPr/>
            </w:pPr>
            <w:r>
              <w:rPr/>
              <w:t>Purchase of short-term investments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(16,921,805</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(17,231,516</w:t>
            </w:r>
          </w:p>
        </w:tc>
        <w:tc>
          <w:tcPr>
            <w:tcW w:w="112" w:type="dxa"/>
            <w:tcBorders/>
            <w:shd w:fill="FFFFFF" w:val="clear"/>
            <w:vAlign w:val="center"/>
          </w:tcPr>
          <w:p>
            <w:pPr>
              <w:pStyle w:val="TableContents"/>
              <w:bidi w:val="0"/>
              <w:spacing w:before="0" w:after="283"/>
              <w:jc w:val="left"/>
              <w:rPr/>
            </w:pPr>
            <w:r>
              <w:rPr/>
              <w:t>)</w:t>
            </w:r>
            <w:bookmarkStart w:id="223" w:name="xdx_40C_ecustom--PaymentsToMaturityOfSho"/>
            <w:bookmarkEnd w:id="223"/>
          </w:p>
        </w:tc>
      </w:tr>
      <w:tr>
        <w:trPr/>
        <w:tc>
          <w:tcPr>
            <w:tcW w:w="7056" w:type="dxa"/>
            <w:tcBorders/>
            <w:shd w:fill="CCEEFF" w:val="clear"/>
            <w:vAlign w:val="center"/>
          </w:tcPr>
          <w:p>
            <w:pPr>
              <w:pStyle w:val="TableContents"/>
              <w:bidi w:val="0"/>
              <w:spacing w:before="0" w:after="283"/>
              <w:jc w:val="left"/>
              <w:rPr/>
            </w:pPr>
            <w:r>
              <w:rPr/>
              <w:t>Maturity of short-term investments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18,052,936</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24,563,110</w:t>
            </w:r>
          </w:p>
        </w:tc>
        <w:tc>
          <w:tcPr>
            <w:tcW w:w="112" w:type="dxa"/>
            <w:tcBorders/>
            <w:shd w:fill="CCEEFF" w:val="clear"/>
            <w:vAlign w:val="center"/>
          </w:tcPr>
          <w:p>
            <w:pPr>
              <w:pStyle w:val="TableContents"/>
              <w:bidi w:val="0"/>
              <w:spacing w:before="0" w:after="283"/>
              <w:jc w:val="left"/>
              <w:rPr/>
            </w:pPr>
            <w:r>
              <w:rPr/>
              <w:t> </w:t>
            </w:r>
            <w:bookmarkStart w:id="224" w:name="xdx_40A_ecustom--PaymentsForPurchaseOfLo"/>
            <w:bookmarkEnd w:id="224"/>
          </w:p>
        </w:tc>
      </w:tr>
      <w:tr>
        <w:trPr/>
        <w:tc>
          <w:tcPr>
            <w:tcW w:w="7056" w:type="dxa"/>
            <w:tcBorders/>
            <w:shd w:fill="FFFFFF" w:val="clear"/>
            <w:vAlign w:val="center"/>
          </w:tcPr>
          <w:p>
            <w:pPr>
              <w:pStyle w:val="TableContents"/>
              <w:bidi w:val="0"/>
              <w:spacing w:before="0" w:after="283"/>
              <w:jc w:val="left"/>
              <w:rPr/>
            </w:pPr>
            <w:r>
              <w:rPr/>
              <w:t>Purchase of long-term investment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(712,677</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25" w:name="xdx_407_eus-gaap--NetCashProvidedByUsedI"/>
            <w:bookmarkEnd w:id="225"/>
          </w:p>
        </w:tc>
      </w:tr>
      <w:tr>
        <w:trPr/>
        <w:tc>
          <w:tcPr>
            <w:tcW w:w="7056" w:type="dxa"/>
            <w:tcBorders/>
            <w:shd w:fill="CCEEFF" w:val="clear"/>
            <w:vAlign w:val="center"/>
          </w:tcPr>
          <w:p>
            <w:pPr>
              <w:pStyle w:val="TableContents"/>
              <w:bidi w:val="0"/>
              <w:spacing w:before="0" w:after="283"/>
              <w:jc w:val="left"/>
              <w:rPr>
                <w:b/>
              </w:rPr>
            </w:pPr>
            <w:r>
              <w:rPr>
                <w:b/>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(391,698</w:t>
            </w:r>
          </w:p>
        </w:tc>
        <w:tc>
          <w:tcPr>
            <w:tcW w:w="101"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5,664,522</w:t>
            </w:r>
          </w:p>
        </w:tc>
        <w:tc>
          <w:tcPr>
            <w:tcW w:w="112"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26" w:name="xdx_400_eus-gaap--NetCashProvidedByUsedI"/>
            <w:bookmarkEnd w:id="226"/>
          </w:p>
        </w:tc>
      </w:tr>
      <w:tr>
        <w:trPr/>
        <w:tc>
          <w:tcPr>
            <w:tcW w:w="7056"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27" w:name="xdx_407_eus-gaap--ProceedsFromShortTermD"/>
            <w:bookmarkEnd w:id="227"/>
          </w:p>
        </w:tc>
      </w:tr>
      <w:tr>
        <w:trPr/>
        <w:tc>
          <w:tcPr>
            <w:tcW w:w="7056" w:type="dxa"/>
            <w:tcBorders/>
            <w:shd w:fill="FFFFFF" w:val="clear"/>
            <w:vAlign w:val="center"/>
          </w:tcPr>
          <w:p>
            <w:pPr>
              <w:pStyle w:val="TableContents"/>
              <w:bidi w:val="0"/>
              <w:spacing w:before="0" w:after="283"/>
              <w:jc w:val="left"/>
              <w:rPr/>
            </w:pPr>
            <w:r>
              <w:rPr/>
              <w:t>Proceeds from short-term loans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2,850,708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3,055,629</w:t>
            </w:r>
          </w:p>
        </w:tc>
        <w:tc>
          <w:tcPr>
            <w:tcW w:w="112" w:type="dxa"/>
            <w:tcBorders/>
            <w:shd w:fill="FFFFFF" w:val="clear"/>
            <w:vAlign w:val="center"/>
          </w:tcPr>
          <w:p>
            <w:pPr>
              <w:pStyle w:val="TableContents"/>
              <w:bidi w:val="0"/>
              <w:spacing w:before="0" w:after="283"/>
              <w:jc w:val="left"/>
              <w:rPr/>
            </w:pPr>
            <w:r>
              <w:rPr/>
              <w:t> </w:t>
            </w:r>
            <w:bookmarkStart w:id="228" w:name="xdx_405_eus-gaap--RepaymentsOfShortTermD"/>
            <w:bookmarkEnd w:id="228"/>
          </w:p>
        </w:tc>
      </w:tr>
      <w:tr>
        <w:trPr/>
        <w:tc>
          <w:tcPr>
            <w:tcW w:w="7056" w:type="dxa"/>
            <w:tcBorders/>
            <w:shd w:fill="CCEEFF" w:val="clear"/>
            <w:vAlign w:val="center"/>
          </w:tcPr>
          <w:p>
            <w:pPr>
              <w:pStyle w:val="TableContents"/>
              <w:bidi w:val="0"/>
              <w:spacing w:before="0" w:after="283"/>
              <w:jc w:val="left"/>
              <w:rPr/>
            </w:pPr>
            <w:r>
              <w:rPr/>
              <w:t>Repayments of short-term loans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(3,107,272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(42,655</w:t>
            </w:r>
          </w:p>
        </w:tc>
        <w:tc>
          <w:tcPr>
            <w:tcW w:w="112" w:type="dxa"/>
            <w:tcBorders/>
            <w:shd w:fill="CCEEFF" w:val="clear"/>
            <w:vAlign w:val="center"/>
          </w:tcPr>
          <w:p>
            <w:pPr>
              <w:pStyle w:val="TableContents"/>
              <w:bidi w:val="0"/>
              <w:spacing w:before="0" w:after="283"/>
              <w:jc w:val="left"/>
              <w:rPr/>
            </w:pPr>
            <w:r>
              <w:rPr/>
              <w:t>)</w:t>
            </w:r>
            <w:bookmarkStart w:id="229" w:name="xdx_40C_eus-gaap--RepaymentsOfLongTermDe"/>
            <w:bookmarkEnd w:id="229"/>
          </w:p>
        </w:tc>
      </w:tr>
      <w:tr>
        <w:trPr/>
        <w:tc>
          <w:tcPr>
            <w:tcW w:w="7056" w:type="dxa"/>
            <w:tcBorders/>
            <w:shd w:fill="FFFFFF" w:val="clear"/>
            <w:vAlign w:val="center"/>
          </w:tcPr>
          <w:p>
            <w:pPr>
              <w:pStyle w:val="TableContents"/>
              <w:bidi w:val="0"/>
              <w:spacing w:before="0" w:after="283"/>
              <w:jc w:val="left"/>
              <w:rPr/>
            </w:pPr>
            <w:r>
              <w:rPr/>
              <w:t>Repayments of long-term loans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(279,053</w:t>
            </w:r>
          </w:p>
        </w:tc>
        <w:tc>
          <w:tcPr>
            <w:tcW w:w="112" w:type="dxa"/>
            <w:tcBorders/>
            <w:shd w:fill="FFFFFF" w:val="clear"/>
            <w:vAlign w:val="center"/>
          </w:tcPr>
          <w:p>
            <w:pPr>
              <w:pStyle w:val="TableContents"/>
              <w:bidi w:val="0"/>
              <w:spacing w:before="0" w:after="283"/>
              <w:jc w:val="left"/>
              <w:rPr/>
            </w:pPr>
            <w:r>
              <w:rPr/>
              <w:t>)</w:t>
            </w:r>
            <w:bookmarkStart w:id="230" w:name="xdx_406_eus-gaap--ProceedsFromIssuanceIn"/>
            <w:bookmarkEnd w:id="230"/>
          </w:p>
        </w:tc>
      </w:tr>
      <w:tr>
        <w:trPr/>
        <w:tc>
          <w:tcPr>
            <w:tcW w:w="7056" w:type="dxa"/>
            <w:tcBorders/>
            <w:shd w:fill="CCEEFF" w:val="clear"/>
            <w:vAlign w:val="center"/>
          </w:tcPr>
          <w:p>
            <w:pPr>
              <w:pStyle w:val="TableContents"/>
              <w:bidi w:val="0"/>
              <w:spacing w:before="0" w:after="283"/>
              <w:jc w:val="left"/>
              <w:rPr/>
            </w:pPr>
            <w:r>
              <w:rPr/>
              <w:t>Net proceeds from initial public offering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5,380,488</w:t>
            </w:r>
          </w:p>
        </w:tc>
        <w:tc>
          <w:tcPr>
            <w:tcW w:w="112" w:type="dxa"/>
            <w:tcBorders/>
            <w:shd w:fill="CCEEFF" w:val="clear"/>
            <w:vAlign w:val="center"/>
          </w:tcPr>
          <w:p>
            <w:pPr>
              <w:pStyle w:val="TableContents"/>
              <w:bidi w:val="0"/>
              <w:spacing w:before="0" w:after="283"/>
              <w:jc w:val="left"/>
              <w:rPr/>
            </w:pPr>
            <w:r>
              <w:rPr/>
              <w:t> </w:t>
            </w:r>
            <w:bookmarkStart w:id="231" w:name="xdx_40B_ecustom--ProceedsFromDeferredOff"/>
            <w:bookmarkEnd w:id="231"/>
          </w:p>
        </w:tc>
      </w:tr>
      <w:tr>
        <w:trPr/>
        <w:tc>
          <w:tcPr>
            <w:tcW w:w="7056" w:type="dxa"/>
            <w:tcBorders/>
            <w:shd w:fill="FFFFFF" w:val="clear"/>
            <w:vAlign w:val="center"/>
          </w:tcPr>
          <w:p>
            <w:pPr>
              <w:pStyle w:val="TableContents"/>
              <w:bidi w:val="0"/>
              <w:spacing w:before="0" w:after="283"/>
              <w:jc w:val="left"/>
              <w:rPr/>
            </w:pPr>
            <w:r>
              <w:rPr/>
              <w:t>Payment of offering expenses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(127,297</w:t>
            </w:r>
          </w:p>
        </w:tc>
        <w:tc>
          <w:tcPr>
            <w:tcW w:w="112" w:type="dxa"/>
            <w:tcBorders/>
            <w:shd w:fill="FFFFFF" w:val="clear"/>
            <w:vAlign w:val="center"/>
          </w:tcPr>
          <w:p>
            <w:pPr>
              <w:pStyle w:val="TableContents"/>
              <w:bidi w:val="0"/>
              <w:spacing w:before="0" w:after="283"/>
              <w:jc w:val="left"/>
              <w:rPr/>
            </w:pPr>
            <w:r>
              <w:rPr/>
              <w:t>)</w:t>
            </w:r>
            <w:bookmarkStart w:id="232" w:name="xdx_402_ecustom--PurchaseOfNoncontrollin"/>
            <w:bookmarkEnd w:id="232"/>
          </w:p>
        </w:tc>
      </w:tr>
      <w:tr>
        <w:trPr/>
        <w:tc>
          <w:tcPr>
            <w:tcW w:w="7056" w:type="dxa"/>
            <w:tcBorders/>
            <w:shd w:fill="CCEEFF" w:val="clear"/>
            <w:vAlign w:val="center"/>
          </w:tcPr>
          <w:p>
            <w:pPr>
              <w:pStyle w:val="TableContents"/>
              <w:bidi w:val="0"/>
              <w:spacing w:before="0" w:after="283"/>
              <w:jc w:val="left"/>
              <w:rPr/>
            </w:pPr>
            <w:r>
              <w:rPr/>
              <w:t>Purchase of non-controlling interests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(42,559</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233" w:name="xdx_40F_eus-gaap--PaymentsOfDividends_i0"/>
            <w:bookmarkEnd w:id="233"/>
          </w:p>
        </w:tc>
      </w:tr>
      <w:tr>
        <w:trPr/>
        <w:tc>
          <w:tcPr>
            <w:tcW w:w="7056" w:type="dxa"/>
            <w:tcBorders/>
            <w:shd w:fill="FFFFFF" w:val="clear"/>
            <w:vAlign w:val="center"/>
          </w:tcPr>
          <w:p>
            <w:pPr>
              <w:pStyle w:val="TableContents"/>
              <w:bidi w:val="0"/>
              <w:spacing w:before="0" w:after="283"/>
              <w:jc w:val="left"/>
              <w:rPr/>
            </w:pPr>
            <w:r>
              <w:rPr/>
              <w:t>Dividend to shareholders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(70,142</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234" w:name="xdx_40F_eus-gaap--NetCashProvidedByUsedI"/>
            <w:bookmarkEnd w:id="234"/>
          </w:p>
        </w:tc>
      </w:tr>
      <w:tr>
        <w:trPr/>
        <w:tc>
          <w:tcPr>
            <w:tcW w:w="7056" w:type="dxa"/>
            <w:tcBorders/>
            <w:shd w:fill="CCEEFF" w:val="clear"/>
            <w:vAlign w:val="center"/>
          </w:tcPr>
          <w:p>
            <w:pPr>
              <w:pStyle w:val="TableContents"/>
              <w:bidi w:val="0"/>
              <w:spacing w:before="0" w:after="283"/>
              <w:jc w:val="left"/>
              <w:rPr>
                <w:b/>
              </w:rPr>
            </w:pPr>
            <w:r>
              <w:rPr>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(369,265</w:t>
            </w:r>
          </w:p>
        </w:tc>
        <w:tc>
          <w:tcPr>
            <w:tcW w:w="101"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7,987,112</w:t>
            </w:r>
          </w:p>
        </w:tc>
        <w:tc>
          <w:tcPr>
            <w:tcW w:w="112"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5" w:name="xdx_400_eus-gaap--CashCashEquivalentsRes"/>
            <w:bookmarkEnd w:id="235"/>
          </w:p>
        </w:tc>
      </w:tr>
      <w:tr>
        <w:trPr/>
        <w:tc>
          <w:tcPr>
            <w:tcW w:w="7056" w:type="dxa"/>
            <w:tcBorders/>
            <w:shd w:fill="CCEEFF" w:val="clear"/>
            <w:vAlign w:val="center"/>
          </w:tcPr>
          <w:p>
            <w:pPr>
              <w:pStyle w:val="TableContents"/>
              <w:bidi w:val="0"/>
              <w:spacing w:before="0" w:after="283"/>
              <w:jc w:val="left"/>
              <w:rPr/>
            </w:pPr>
            <w:r>
              <w:rPr/>
              <w:t>Effect of foreign exchange rate on cash</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187,225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(176,524</w:t>
            </w:r>
          </w:p>
        </w:tc>
        <w:tc>
          <w:tcPr>
            <w:tcW w:w="112" w:type="dxa"/>
            <w:tcBorders/>
            <w:shd w:fill="CCEEFF" w:val="clear"/>
            <w:vAlign w:val="center"/>
          </w:tcPr>
          <w:p>
            <w:pPr>
              <w:pStyle w:val="TableContents"/>
              <w:bidi w:val="0"/>
              <w:spacing w:before="0" w:after="283"/>
              <w:jc w:val="left"/>
              <w:rPr/>
            </w:pPr>
            <w:r>
              <w:rPr/>
              <w:t>)</w:t>
            </w:r>
          </w:p>
        </w:tc>
      </w:tr>
      <w:tr>
        <w:trPr/>
        <w:tc>
          <w:tcPr>
            <w:tcW w:w="7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6" w:name="xdx_406_eus-gaap--CashCashEquivalentsRes"/>
            <w:bookmarkEnd w:id="236"/>
          </w:p>
        </w:tc>
      </w:tr>
      <w:tr>
        <w:trPr/>
        <w:tc>
          <w:tcPr>
            <w:tcW w:w="7056" w:type="dxa"/>
            <w:tcBorders/>
            <w:shd w:fill="CCEEFF" w:val="clear"/>
            <w:vAlign w:val="center"/>
          </w:tcPr>
          <w:p>
            <w:pPr>
              <w:pStyle w:val="TableContents"/>
              <w:bidi w:val="0"/>
              <w:spacing w:before="0" w:after="283"/>
              <w:jc w:val="left"/>
              <w:rPr>
                <w:b/>
              </w:rPr>
            </w:pPr>
            <w:r>
              <w:rPr>
                <w:b/>
              </w:rPr>
              <w:t>Net increase in cash and restricted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b/>
              </w:rPr>
            </w:pPr>
            <w:r>
              <w:rPr>
                <w:b/>
              </w:rPr>
              <w:t>156,337</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b/>
              </w:rPr>
            </w:pPr>
            <w:r>
              <w:rPr>
                <w:b/>
              </w:rPr>
              <w:t>11,493,583</w:t>
            </w:r>
          </w:p>
        </w:tc>
        <w:tc>
          <w:tcPr>
            <w:tcW w:w="112" w:type="dxa"/>
            <w:tcBorders/>
            <w:shd w:fill="CCEEFF" w:val="clear"/>
            <w:vAlign w:val="center"/>
          </w:tcPr>
          <w:p>
            <w:pPr>
              <w:pStyle w:val="TableContents"/>
              <w:bidi w:val="0"/>
              <w:spacing w:before="0" w:after="283"/>
              <w:jc w:val="left"/>
              <w:rPr/>
            </w:pPr>
            <w:r>
              <w:rPr/>
              <w:t> </w:t>
            </w:r>
            <w:bookmarkStart w:id="237" w:name="xdx_408_eus-gaap--CashCashEquivalentsRes"/>
            <w:bookmarkEnd w:id="237"/>
          </w:p>
        </w:tc>
      </w:tr>
      <w:tr>
        <w:trPr/>
        <w:tc>
          <w:tcPr>
            <w:tcW w:w="7056" w:type="dxa"/>
            <w:tcBorders/>
            <w:shd w:fill="FFFFFF" w:val="clear"/>
            <w:vAlign w:val="center"/>
          </w:tcPr>
          <w:p>
            <w:pPr>
              <w:pStyle w:val="TableContents"/>
              <w:bidi w:val="0"/>
              <w:spacing w:before="0" w:after="283"/>
              <w:jc w:val="left"/>
              <w:rPr>
                <w:b/>
              </w:rPr>
            </w:pPr>
            <w:r>
              <w:rPr>
                <w:b/>
              </w:rPr>
              <w:t>Cash and restricted cash at the beginning of the period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10,160,587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FFFFFF" w:val="clear"/>
            <w:tcMar>
              <w:bottom w:w="28" w:type="dxa"/>
            </w:tcMar>
            <w:vAlign w:val="center"/>
          </w:tcPr>
          <w:p>
            <w:pPr>
              <w:pStyle w:val="TableContents"/>
              <w:bidi w:val="0"/>
              <w:spacing w:before="0" w:after="283"/>
              <w:jc w:val="right"/>
              <w:rPr/>
            </w:pPr>
            <w:r>
              <w:rPr/>
              <w:t>7,301,014</w:t>
            </w:r>
          </w:p>
        </w:tc>
        <w:tc>
          <w:tcPr>
            <w:tcW w:w="112" w:type="dxa"/>
            <w:tcBorders/>
            <w:shd w:fill="FFFFFF" w:val="clear"/>
            <w:vAlign w:val="center"/>
          </w:tcPr>
          <w:p>
            <w:pPr>
              <w:pStyle w:val="TableContents"/>
              <w:bidi w:val="0"/>
              <w:spacing w:before="0" w:after="283"/>
              <w:jc w:val="left"/>
              <w:rPr/>
            </w:pPr>
            <w:r>
              <w:rPr/>
              <w:t> </w:t>
            </w:r>
            <w:bookmarkStart w:id="238" w:name="xdx_404_eus-gaap--CashCashEquivalentsRes"/>
            <w:bookmarkEnd w:id="238"/>
          </w:p>
        </w:tc>
      </w:tr>
      <w:tr>
        <w:trPr/>
        <w:tc>
          <w:tcPr>
            <w:tcW w:w="7056" w:type="dxa"/>
            <w:tcBorders/>
            <w:shd w:fill="CCEEFF" w:val="clear"/>
            <w:vAlign w:val="center"/>
          </w:tcPr>
          <w:p>
            <w:pPr>
              <w:pStyle w:val="TableContents"/>
              <w:bidi w:val="0"/>
              <w:spacing w:before="0" w:after="283"/>
              <w:jc w:val="left"/>
              <w:rPr>
                <w:b/>
              </w:rPr>
            </w:pPr>
            <w:r>
              <w:rPr>
                <w:b/>
              </w:rPr>
              <w:t>Cash and restricted cash at the end of the period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10,316,924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18,794,597</w:t>
            </w:r>
          </w:p>
        </w:tc>
        <w:tc>
          <w:tcPr>
            <w:tcW w:w="112" w:type="dxa"/>
            <w:tcBorders/>
            <w:shd w:fill="CCEEFF" w:val="clear"/>
            <w:vAlign w:val="center"/>
          </w:tcPr>
          <w:p>
            <w:pPr>
              <w:pStyle w:val="TableContents"/>
              <w:bidi w:val="0"/>
              <w:spacing w:before="0" w:after="283"/>
              <w:jc w:val="left"/>
              <w:rPr/>
            </w:pPr>
            <w:r>
              <w:rPr/>
              <w:t> </w:t>
            </w:r>
          </w:p>
        </w:tc>
      </w:tr>
      <w:tr>
        <w:trPr/>
        <w:tc>
          <w:tcPr>
            <w:tcW w:w="70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9" w:name="xdx_406_eus-gaap--CashCashEquivalentsRes"/>
            <w:bookmarkEnd w:id="239"/>
          </w:p>
        </w:tc>
      </w:tr>
      <w:tr>
        <w:trPr/>
        <w:tc>
          <w:tcPr>
            <w:tcW w:w="7056" w:type="dxa"/>
            <w:tcBorders/>
            <w:shd w:fill="CCEEFF" w:val="clear"/>
            <w:vAlign w:val="center"/>
          </w:tcPr>
          <w:p>
            <w:pPr>
              <w:pStyle w:val="TableContents"/>
              <w:bidi w:val="0"/>
              <w:spacing w:before="0" w:after="283"/>
              <w:jc w:val="left"/>
              <w:rPr>
                <w:b/>
              </w:rPr>
            </w:pPr>
            <w:r>
              <w:rPr>
                <w:b/>
              </w:rPr>
              <w:t>Reconciliation of cash and restricted cash</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40" w:name="xdx_401_eus-gaap--Cash_iE_zsFggf9Zmsff"/>
            <w:bookmarkEnd w:id="240"/>
          </w:p>
        </w:tc>
      </w:tr>
      <w:tr>
        <w:trPr/>
        <w:tc>
          <w:tcPr>
            <w:tcW w:w="7056"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10,249,822</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p>
        </w:tc>
        <w:tc>
          <w:tcPr>
            <w:tcW w:w="1257" w:type="dxa"/>
            <w:tcBorders/>
            <w:shd w:fill="FFFFFF" w:val="clear"/>
            <w:vAlign w:val="center"/>
          </w:tcPr>
          <w:p>
            <w:pPr>
              <w:pStyle w:val="TableContents"/>
              <w:bidi w:val="0"/>
              <w:spacing w:before="0" w:after="283"/>
              <w:jc w:val="right"/>
              <w:rPr/>
            </w:pPr>
            <w:r>
              <w:rPr/>
              <w:t>10,159,656</w:t>
            </w:r>
          </w:p>
        </w:tc>
        <w:tc>
          <w:tcPr>
            <w:tcW w:w="112" w:type="dxa"/>
            <w:tcBorders/>
            <w:shd w:fill="FFFFFF" w:val="clear"/>
            <w:vAlign w:val="center"/>
          </w:tcPr>
          <w:p>
            <w:pPr>
              <w:pStyle w:val="TableContents"/>
              <w:bidi w:val="0"/>
              <w:spacing w:before="0" w:after="283"/>
              <w:jc w:val="left"/>
              <w:rPr/>
            </w:pPr>
            <w:r>
              <w:rPr/>
              <w:t> </w:t>
            </w:r>
            <w:bookmarkStart w:id="241" w:name="xdx_407_eus-gaap--RestrictedCash_iE_zE5x"/>
            <w:bookmarkEnd w:id="241"/>
          </w:p>
        </w:tc>
      </w:tr>
      <w:tr>
        <w:trPr/>
        <w:tc>
          <w:tcPr>
            <w:tcW w:w="7056"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67,102</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7" w:type="dxa"/>
            <w:tcBorders>
              <w:bottom w:val="single" w:sz="8" w:space="0" w:color="000000"/>
            </w:tcBorders>
            <w:shd w:fill="CCEEFF" w:val="clear"/>
            <w:tcMar>
              <w:bottom w:w="28" w:type="dxa"/>
            </w:tcMar>
            <w:vAlign w:val="center"/>
          </w:tcPr>
          <w:p>
            <w:pPr>
              <w:pStyle w:val="TableContents"/>
              <w:bidi w:val="0"/>
              <w:spacing w:before="0" w:after="283"/>
              <w:jc w:val="right"/>
              <w:rPr/>
            </w:pPr>
            <w:r>
              <w:rPr/>
              <w:t>931</w:t>
            </w:r>
          </w:p>
        </w:tc>
        <w:tc>
          <w:tcPr>
            <w:tcW w:w="112" w:type="dxa"/>
            <w:tcBorders/>
            <w:shd w:fill="CCEEFF" w:val="clear"/>
            <w:vAlign w:val="center"/>
          </w:tcPr>
          <w:p>
            <w:pPr>
              <w:pStyle w:val="TableContents"/>
              <w:bidi w:val="0"/>
              <w:spacing w:before="0" w:after="283"/>
              <w:jc w:val="left"/>
              <w:rPr/>
            </w:pPr>
            <w:r>
              <w:rPr/>
              <w:t> </w:t>
            </w:r>
            <w:bookmarkStart w:id="242" w:name="xdx_40B_eus-gaap--CashCashEquivalentsRes"/>
            <w:bookmarkEnd w:id="242"/>
          </w:p>
        </w:tc>
      </w:tr>
      <w:tr>
        <w:trPr/>
        <w:tc>
          <w:tcPr>
            <w:tcW w:w="7056" w:type="dxa"/>
            <w:tcBorders/>
            <w:shd w:fill="FFFFFF" w:val="clear"/>
            <w:vAlign w:val="center"/>
          </w:tcPr>
          <w:p>
            <w:pPr>
              <w:pStyle w:val="TableContents"/>
              <w:bidi w:val="0"/>
              <w:spacing w:before="0" w:after="283"/>
              <w:jc w:val="left"/>
              <w:rPr/>
            </w:pPr>
            <w:r>
              <w:rPr/>
              <w:t>Total cash and restricted cash shown in the statements of cash flows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10,316,924</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18,794,597</w:t>
            </w:r>
          </w:p>
        </w:tc>
        <w:tc>
          <w:tcPr>
            <w:tcW w:w="112"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43" w:name="xdx_40C_eus-gaap--NoncashInvestingAndFin"/>
            <w:bookmarkEnd w:id="243"/>
          </w:p>
        </w:tc>
      </w:tr>
      <w:tr>
        <w:trPr/>
        <w:tc>
          <w:tcPr>
            <w:tcW w:w="7056" w:type="dxa"/>
            <w:tcBorders/>
            <w:shd w:fill="FFFFFF" w:val="clear"/>
            <w:vAlign w:val="center"/>
          </w:tcPr>
          <w:p>
            <w:pPr>
              <w:pStyle w:val="TableContents"/>
              <w:bidi w:val="0"/>
              <w:spacing w:before="0" w:after="283"/>
              <w:jc w:val="left"/>
              <w:rPr>
                <w:b/>
              </w:rPr>
            </w:pPr>
            <w:r>
              <w:rPr>
                <w:b/>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44" w:name="xdx_40B_eus-gaap--IncomeTaxesPaidNet_i01"/>
            <w:bookmarkEnd w:id="244"/>
          </w:p>
        </w:tc>
      </w:tr>
      <w:tr>
        <w:trPr/>
        <w:tc>
          <w:tcPr>
            <w:tcW w:w="7056"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94,689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153,192</w:t>
            </w:r>
          </w:p>
        </w:tc>
        <w:tc>
          <w:tcPr>
            <w:tcW w:w="112" w:type="dxa"/>
            <w:tcBorders/>
            <w:shd w:fill="CCEEFF" w:val="clear"/>
            <w:vAlign w:val="center"/>
          </w:tcPr>
          <w:p>
            <w:pPr>
              <w:pStyle w:val="TableContents"/>
              <w:bidi w:val="0"/>
              <w:spacing w:before="0" w:after="283"/>
              <w:jc w:val="left"/>
              <w:rPr/>
            </w:pPr>
            <w:r>
              <w:rPr/>
              <w:t> </w:t>
            </w:r>
            <w:bookmarkStart w:id="245" w:name="xdx_40F_eus-gaap--InterestPaidNet_zorhpA"/>
            <w:bookmarkEnd w:id="245"/>
          </w:p>
        </w:tc>
      </w:tr>
      <w:tr>
        <w:trPr/>
        <w:tc>
          <w:tcPr>
            <w:tcW w:w="7056"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pPr>
            <w:r>
              <w:rPr/>
              <w:t>36,080</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pPr>
            <w:r>
              <w:rPr/>
              <w:t>19,372</w:t>
            </w:r>
          </w:p>
        </w:tc>
        <w:tc>
          <w:tcPr>
            <w:tcW w:w="112" w:type="dxa"/>
            <w:tcBorders/>
            <w:shd w:fill="FFFFFF" w:val="clear"/>
            <w:vAlign w:val="center"/>
          </w:tcPr>
          <w:p>
            <w:pPr>
              <w:pStyle w:val="TableContents"/>
              <w:bidi w:val="0"/>
              <w:spacing w:before="0" w:after="283"/>
              <w:jc w:val="left"/>
              <w:rPr/>
            </w:pPr>
            <w:r>
              <w:rPr/>
              <w:t> </w:t>
            </w:r>
          </w:p>
        </w:tc>
      </w:tr>
      <w:tr>
        <w:trPr/>
        <w:tc>
          <w:tcPr>
            <w:tcW w:w="70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25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46" w:name="xdx_407_eus-gaap--NoncashOrPartNoncashAc"/>
            <w:bookmarkEnd w:id="246"/>
          </w:p>
        </w:tc>
      </w:tr>
      <w:tr>
        <w:trPr/>
        <w:tc>
          <w:tcPr>
            <w:tcW w:w="7056" w:type="dxa"/>
            <w:tcBorders/>
            <w:shd w:fill="FFFFFF" w:val="clear"/>
            <w:vAlign w:val="center"/>
          </w:tcPr>
          <w:p>
            <w:pPr>
              <w:pStyle w:val="TableContents"/>
              <w:bidi w:val="0"/>
              <w:spacing w:before="0" w:after="283"/>
              <w:jc w:val="left"/>
              <w:rPr>
                <w:b/>
              </w:rPr>
            </w:pPr>
            <w:r>
              <w:rPr>
                <w:b/>
              </w:rPr>
              <w:t>Non-cash transactions: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25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47" w:name="xdx_408_ecustom--OperatingRightofuseAsse"/>
            <w:bookmarkEnd w:id="247"/>
          </w:p>
        </w:tc>
      </w:tr>
      <w:tr>
        <w:trPr/>
        <w:tc>
          <w:tcPr>
            <w:tcW w:w="7056" w:type="dxa"/>
            <w:tcBorders/>
            <w:shd w:fill="CCEEFF" w:val="clear"/>
            <w:vAlign w:val="center"/>
          </w:tcPr>
          <w:p>
            <w:pPr>
              <w:pStyle w:val="TableContents"/>
              <w:bidi w:val="0"/>
              <w:spacing w:before="0" w:after="283"/>
              <w:jc w:val="left"/>
              <w:rPr/>
            </w:pPr>
            <w:r>
              <w:rPr/>
              <w:t>Operating right-of-use assets recognized for related operating lease liabilities</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(4,315</w:t>
            </w:r>
          </w:p>
        </w:tc>
        <w:tc>
          <w:tcPr>
            <w:tcW w:w="112" w:type="dxa"/>
            <w:tcBorders/>
            <w:shd w:fill="CCEEFF" w:val="clear"/>
            <w:vAlign w:val="center"/>
          </w:tcPr>
          <w:p>
            <w:pPr>
              <w:pStyle w:val="TableContents"/>
              <w:bidi w:val="0"/>
              <w:spacing w:before="0" w:after="283"/>
              <w:jc w:val="left"/>
              <w:rPr/>
            </w:pPr>
            <w:r>
              <w:rPr/>
              <w:t>)</w:t>
            </w:r>
            <w:bookmarkStart w:id="248" w:name="xdx_405_ecustom--ReclassificationOfDefer"/>
            <w:bookmarkEnd w:id="248"/>
          </w:p>
        </w:tc>
      </w:tr>
      <w:tr>
        <w:trPr/>
        <w:tc>
          <w:tcPr>
            <w:tcW w:w="7056" w:type="dxa"/>
            <w:tcBorders/>
            <w:shd w:fill="FFFFFF" w:val="clear"/>
            <w:vAlign w:val="center"/>
          </w:tcPr>
          <w:p>
            <w:pPr>
              <w:pStyle w:val="TableContents"/>
              <w:bidi w:val="0"/>
              <w:spacing w:before="0" w:after="283"/>
              <w:jc w:val="left"/>
              <w:rPr/>
            </w:pPr>
            <w:r>
              <w:rPr/>
              <w:t>Reclassification of deferred offering cost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FFFFFF" w:val="clear"/>
            <w:tcMar>
              <w:bottom w:w="28" w:type="dxa"/>
            </w:tcMar>
            <w:vAlign w:val="center"/>
          </w:tcPr>
          <w:p>
            <w:pPr>
              <w:pStyle w:val="TableContents"/>
              <w:bidi w:val="0"/>
              <w:spacing w:before="0" w:after="283"/>
              <w:jc w:val="right"/>
              <w:rPr/>
            </w:pPr>
            <w:r>
              <w:rPr/>
              <w:t>437,653</w:t>
            </w:r>
          </w:p>
        </w:tc>
        <w:tc>
          <w:tcPr>
            <w:tcW w:w="112" w:type="dxa"/>
            <w:tcBorders/>
            <w:shd w:fill="FFFFFF" w:val="clear"/>
            <w:vAlign w:val="center"/>
          </w:tcPr>
          <w:p>
            <w:pPr>
              <w:pStyle w:val="TableContents"/>
              <w:bidi w:val="0"/>
              <w:spacing w:before="0" w:after="283"/>
              <w:jc w:val="left"/>
              <w:rPr/>
            </w:pPr>
            <w:r>
              <w:rPr/>
              <w:t> </w:t>
            </w:r>
            <w:bookmarkStart w:id="249" w:name="xdx_403_ecustom--TransferOfSelfproducedP"/>
            <w:bookmarkEnd w:id="249"/>
          </w:p>
        </w:tc>
      </w:tr>
      <w:tr>
        <w:trPr/>
        <w:tc>
          <w:tcPr>
            <w:tcW w:w="7056" w:type="dxa"/>
            <w:tcBorders/>
            <w:shd w:fill="CCEEFF" w:val="clear"/>
            <w:vAlign w:val="center"/>
          </w:tcPr>
          <w:p>
            <w:pPr>
              <w:pStyle w:val="TableContents"/>
              <w:bidi w:val="0"/>
              <w:spacing w:before="0" w:after="283"/>
              <w:jc w:val="left"/>
              <w:rPr/>
            </w:pPr>
            <w:r>
              <w:rPr/>
              <w:t>Transfer of self-produced products from inventories to property and equipment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354,795</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0" w:name="Y-005"/>
      <w:bookmarkEnd w:id="250"/>
      <w:r>
        <w:rPr>
          <w:rFonts w:ascii="Times New Roman;Times;Serif" w:hAnsi="Times New Roman;Times;Serif"/>
          <w:b/>
          <w:i w:val="false"/>
          <w:caps w:val="false"/>
          <w:smallCaps w:val="false"/>
          <w:sz w:val="20"/>
        </w:rPr>
        <w:t>LEISHEN ENERGY HOLDING CO., LTD.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 and September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1" w:name="xdx_80C_eus-gaap--OrganizationConsolidat"/>
      <w:bookmarkEnd w:id="251"/>
      <w:r>
        <w:rPr>
          <w:rFonts w:ascii="Times New Roman;Times;Serif" w:hAnsi="Times New Roman;Times;Serif"/>
          <w:b/>
          <w:i w:val="false"/>
          <w:caps w:val="false"/>
          <w:smallCaps w:val="false"/>
          <w:sz w:val="20"/>
        </w:rPr>
        <w:t xml:space="preserve">NOTE 1 – </w:t>
      </w:r>
      <w:bookmarkStart w:id="252" w:name="xdx_827_zDboooAtCsse"/>
      <w:bookmarkEnd w:id="252"/>
      <w:r>
        <w:rPr>
          <w:rFonts w:ascii="Times New Roman;Times;Serif" w:hAnsi="Times New Roman;Times;Serif"/>
          <w:b/>
          <w:i w:val="false"/>
          <w:caps w:val="false"/>
          <w:smallCaps w:val="false"/>
          <w:sz w:val="20"/>
        </w:rPr>
        <w:t>ORGANIZATION AND BUSINESS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Leishen Energy Holding Co., Ltd. (“Leishen Cayman”) was incorporated under the laws of Cayman Islands as an exempted company with limited liability on </w:t>
      </w:r>
      <w:bookmarkStart w:id="253" w:name="xdx_905_edei--EntityIncorporationDateOfI"/>
      <w:bookmarkEnd w:id="253"/>
      <w:r>
        <w:rPr>
          <w:rFonts w:ascii="Times New Roman;Times;Serif" w:hAnsi="Times New Roman;Times;Serif"/>
          <w:b w:val="false"/>
          <w:i w:val="false"/>
          <w:caps w:val="false"/>
          <w:smallCaps w:val="false"/>
          <w:sz w:val="20"/>
        </w:rPr>
        <w:t>October 19, 2022. As a holding company with no material operations, Leishen Cayman conducts substantially all of its operations through its operating subsidiaries (collectively, the “Company”) in the People’s Republic of China (“PRC” or “China”). The Company is a provider of clean-energy equipment and integrated solutions to the oil and gas industry, with a commitment to providing customers high-performance, safe and cost-effective energy solutions. The Company’s major businesses segments include (i) clean-energy equipment; (ii) oil and gas engineering technical services; (iii) new energy production and operation; and (iv) digitalization and integration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reorganization of legal structure (“Reorganization”) was completed on March 24, 2023. The reorganization involved the incorporation of Leishen Energy Group Holding Co., Ltd. (“Leishen (Holding) Hong Kong”), and the transfer of the 100% equity interest of Leishen Energy Group Co., Limited (“Leishen Hong Kong”). Consequently, Leishen Cayman, through its subsidiaries Leishen (Holding) Hong Kong and Leishen Hong Kong, directly controls ZJY Technologies Co., Ltd. (“ZJY Technologies”), China Oil Blue Ocean Petroleum Technology Inc. (“China Oil Blue Ocean”), Leishen Energy Technology (Nanjing) Co., Ltd. (“Leishen Nanjing”), Leishen Green Energy Technology Development Co., Ltd. (“Beijing Leishen Green Energy”), Leishen Energy Technology (Shandong) Co., Ltd. (“Leishen Shandong”) and Leishen Energy Services Co., Ltd. (“Leishen Services”), and became the ultimate holding company of all other entities mentioned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Reorganization was accounted for as a reorganization among entities under common control since the same shareholders, controlled all these entities before and after the Reorganization. The consolidation of the Company and its subsidiaries was accounted for at historical cost and prepared on the basis as if the aforementioned transaction became effective as of the beginning of the first period presented in the accompanying consolidated financial statements. Results of operations for the periods presented comprise those of the previously separate entities combined from the beginning to the end of the period, eliminating the effects of intra-entity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structure as of March 31, 2026 was as follows:</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9525000" cy="514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9525000" cy="5143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4" w:name="xdx_892_ecustom--ScheduleOfCompanyAndSub"/>
      <w:bookmarkEnd w:id="254"/>
      <w:r>
        <w:rPr>
          <w:rFonts w:ascii="Times New Roman;Times;Serif" w:hAnsi="Times New Roman;Times;Serif"/>
          <w:b w:val="false"/>
          <w:i w:val="false"/>
          <w:caps w:val="false"/>
          <w:smallCaps w:val="false"/>
          <w:sz w:val="20"/>
        </w:rPr>
        <w:t>Below is an overview of the Company’s principal subsidiaries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255" w:name="xdx_8B3_zQodxaROfTYh"/>
      <w:bookmarkEnd w:id="255"/>
      <w:r>
        <w:rPr>
          <w:rFonts w:ascii="Times New Roman;Times;Serif" w:hAnsi="Times New Roman;Times;Serif"/>
          <w:b w:val="false"/>
          <w:i w:val="false"/>
          <w:caps w:val="false"/>
          <w:smallCaps w:val="false"/>
          <w:sz w:val="20"/>
        </w:rPr>
        <w:t>SCHEDULE OF COMPANY AND SUBSIDIARIES</w:t>
      </w:r>
    </w:p>
    <w:tbl>
      <w:tblPr>
        <w:tblW w:w="10205" w:type="dxa"/>
        <w:jc w:val="left"/>
        <w:tblInd w:w="0" w:type="dxa"/>
        <w:tblLayout w:type="fixed"/>
        <w:tblCellMar>
          <w:top w:w="0" w:type="dxa"/>
          <w:left w:w="0" w:type="dxa"/>
          <w:bottom w:w="28" w:type="dxa"/>
          <w:right w:w="0" w:type="dxa"/>
        </w:tblCellMar>
      </w:tblPr>
      <w:tblGrid>
        <w:gridCol w:w="2746"/>
        <w:gridCol w:w="60"/>
        <w:gridCol w:w="1283"/>
        <w:gridCol w:w="60"/>
        <w:gridCol w:w="1324"/>
        <w:gridCol w:w="60"/>
        <w:gridCol w:w="1161"/>
        <w:gridCol w:w="60"/>
        <w:gridCol w:w="3451"/>
      </w:tblGrid>
      <w:tr>
        <w:trPr/>
        <w:tc>
          <w:tcPr>
            <w:tcW w:w="274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Entity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beneficial ownership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5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Holding Co., Ltd (“Leishen Cayman”)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6" w:name="xdx_902_edei--EntityIncorporationDateOfI"/>
            <w:bookmarkEnd w:id="256"/>
            <w:r>
              <w:rPr>
                <w:rFonts w:ascii="Times New Roman;Times;Serif" w:hAnsi="Times New Roman;Times;Serif"/>
                <w:b w:val="false"/>
                <w:i w:val="false"/>
                <w:caps w:val="false"/>
                <w:smallCaps w:val="false"/>
                <w:sz w:val="20"/>
              </w:rPr>
              <w:t>October 19,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bookmarkStart w:id="257" w:name="xdx_90D_eus-gaap--EquityMethodInvestment"/>
            <w:bookmarkEnd w:id="257"/>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58" w:name="xdx_98B_ecustom--PrincipalActivities_c20"/>
            <w:bookmarkEnd w:id="258"/>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Group Holding Co., Ltd. (“Leishen (Holding) Hong Kong”)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Hongkong,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9" w:name="xdx_906_edei--EntityIncorporationDateOfI"/>
            <w:bookmarkEnd w:id="259"/>
            <w:r>
              <w:rPr>
                <w:rFonts w:ascii="Times New Roman;Times;Serif" w:hAnsi="Times New Roman;Times;Serif"/>
                <w:b w:val="false"/>
                <w:i w:val="false"/>
                <w:caps w:val="false"/>
                <w:smallCaps w:val="false"/>
                <w:sz w:val="20"/>
              </w:rPr>
              <w:t>November 25,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0" w:name="xdx_903_eus-gaap--EquityMethodInvestment"/>
            <w:bookmarkEnd w:id="260"/>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61" w:name="xdx_980_ecustom--PrincipalActivities_c20"/>
            <w:bookmarkEnd w:id="261"/>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Holding company</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Group Co., Ltd. (“Leishen Hong Kong”)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Hongkong,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2" w:name="xdx_90A_edei--EntityIncorporationDateOfI"/>
            <w:bookmarkEnd w:id="262"/>
            <w:r>
              <w:rPr>
                <w:rFonts w:ascii="Times New Roman;Times;Serif" w:hAnsi="Times New Roman;Times;Serif"/>
                <w:b w:val="false"/>
                <w:i w:val="false"/>
                <w:caps w:val="false"/>
                <w:smallCaps w:val="false"/>
                <w:sz w:val="20"/>
              </w:rPr>
              <w:t>February 11, 2010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3" w:name="xdx_904_eus-gaap--EquityMethodInvestment"/>
            <w:bookmarkEnd w:id="263"/>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64" w:name="xdx_985_ecustom--PrincipalActivities_c20"/>
            <w:bookmarkEnd w:id="264"/>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oil and gas professional equipment and instruments</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ZJY Technologies Co., Ltd. (“ZJY Technologies”)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5" w:name="xdx_907_edei--EntityIncorporationDateOfI"/>
            <w:bookmarkEnd w:id="265"/>
            <w:r>
              <w:rPr>
                <w:rFonts w:ascii="Times New Roman;Times;Serif" w:hAnsi="Times New Roman;Times;Serif"/>
                <w:b w:val="false"/>
                <w:i w:val="false"/>
                <w:caps w:val="false"/>
                <w:smallCaps w:val="false"/>
                <w:sz w:val="20"/>
              </w:rPr>
              <w:t>March 2, 2007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6" w:name="xdx_906_eus-gaap--EquityMethodInvestment"/>
            <w:bookmarkEnd w:id="266"/>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67" w:name="xdx_98C_ecustom--PrincipalActivities_c20"/>
            <w:bookmarkEnd w:id="267"/>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and sale of oil and gas professional equipment and after-sales support, and oilfield digitalization and integration service</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Oil Blue Ocean Petroleum Technology Inc. (“China Oil Blue Ocean”)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8" w:name="xdx_909_edei--EntityIncorporationDateOfI"/>
            <w:bookmarkEnd w:id="268"/>
            <w:r>
              <w:rPr>
                <w:rFonts w:ascii="Times New Roman;Times;Serif" w:hAnsi="Times New Roman;Times;Serif"/>
                <w:b w:val="false"/>
                <w:i w:val="false"/>
                <w:caps w:val="false"/>
                <w:smallCaps w:val="false"/>
                <w:sz w:val="20"/>
              </w:rPr>
              <w:t>October 19, 2007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9" w:name="xdx_90F_eus-gaap--EquityMethodInvestment"/>
            <w:bookmarkEnd w:id="269"/>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70" w:name="xdx_98B_ecustom--PrincipalActivities_c20"/>
            <w:bookmarkEnd w:id="270"/>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and sale of oil and gas equipment and instruments, and engineering technology services</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Technology (Nanjing) Co., Ltd. (“Leishen Nanjing”)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Nanjing,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1" w:name="xdx_90F_edei--EntityIncorporationDateOfI"/>
            <w:bookmarkEnd w:id="271"/>
            <w:r>
              <w:rPr>
                <w:rFonts w:ascii="Times New Roman;Times;Serif" w:hAnsi="Times New Roman;Times;Serif"/>
                <w:b w:val="false"/>
                <w:i w:val="false"/>
                <w:caps w:val="false"/>
                <w:smallCaps w:val="false"/>
                <w:sz w:val="20"/>
              </w:rPr>
              <w:t>September 27, 2022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2" w:name="xdx_90A_eus-gaap--EquityMethodInvestment"/>
            <w:bookmarkEnd w:id="272"/>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73" w:name="xdx_984_ecustom--PrincipalActivities_c20"/>
            <w:bookmarkEnd w:id="273"/>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oil and gas professional equipment and instruments</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Leishen Green Energy Technology Development Co., Ltd. (“Beijing Leishen Green Energy”)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4" w:name="xdx_907_edei--EntityIncorporationDateOfI"/>
            <w:bookmarkEnd w:id="274"/>
            <w:r>
              <w:rPr>
                <w:rFonts w:ascii="Times New Roman;Times;Serif" w:hAnsi="Times New Roman;Times;Serif"/>
                <w:b w:val="false"/>
                <w:i w:val="false"/>
                <w:caps w:val="false"/>
                <w:smallCaps w:val="false"/>
                <w:sz w:val="20"/>
              </w:rPr>
              <w:t>January 29, 2018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5" w:name="xdx_907_eus-gaap--EquityMethodInvestment"/>
            <w:bookmarkEnd w:id="275"/>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76" w:name="xdx_982_ecustom--PrincipalActivities_c20"/>
            <w:bookmarkEnd w:id="276"/>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operations as a holding company subsidiary</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Technology (Shandong) Co., Ltd. (“Leishen Shandong”)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7" w:name="xdx_906_edei--EntityIncorporationDateOfI"/>
            <w:bookmarkEnd w:id="277"/>
            <w:r>
              <w:rPr>
                <w:rFonts w:ascii="Times New Roman;Times;Serif" w:hAnsi="Times New Roman;Times;Serif"/>
                <w:b w:val="false"/>
                <w:i w:val="false"/>
                <w:caps w:val="false"/>
                <w:smallCaps w:val="false"/>
                <w:sz w:val="20"/>
              </w:rPr>
              <w:t>September 14, 2010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78" w:name="xdx_90B_eus-gaap--EquityMethodInvestment"/>
            <w:bookmarkEnd w:id="278"/>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79" w:name="xdx_988_ecustom--PrincipalActivities_c20"/>
            <w:bookmarkEnd w:id="279"/>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oil and gas professional equipment and instruments</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Services Co., Ltd. (“Leishen Services”)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Shandong,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0" w:name="xdx_902_edei--EntityIncorporationDateOfI"/>
            <w:bookmarkEnd w:id="280"/>
            <w:r>
              <w:rPr>
                <w:rFonts w:ascii="Times New Roman;Times;Serif" w:hAnsi="Times New Roman;Times;Serif"/>
                <w:b w:val="false"/>
                <w:i w:val="false"/>
                <w:caps w:val="false"/>
                <w:smallCaps w:val="false"/>
                <w:sz w:val="20"/>
              </w:rPr>
              <w:t>January 23, 2019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1" w:name="xdx_90B_eus-gaap--EquityMethodInvestment"/>
            <w:bookmarkEnd w:id="281"/>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82" w:name="xdx_98F_ecustom--PrincipalActivities_c20"/>
            <w:bookmarkEnd w:id="282"/>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operations as a holding company subsidiary</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Sichuan Leishen Hongzhuo Energy Development Co., Ltd. (“Sichuan Leishen Hongzhuo”)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Chengdu,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3" w:name="xdx_90B_edei--EntityIncorporationDateOfI"/>
            <w:bookmarkEnd w:id="283"/>
            <w:r>
              <w:rPr>
                <w:rFonts w:ascii="Times New Roman;Times;Serif" w:hAnsi="Times New Roman;Times;Serif"/>
                <w:b w:val="false"/>
                <w:i w:val="false"/>
                <w:caps w:val="false"/>
                <w:smallCaps w:val="false"/>
                <w:sz w:val="20"/>
              </w:rPr>
              <w:t>January 16, 2019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4" w:name="xdx_907_eus-gaap--EquityMethodInvestment"/>
            <w:bookmarkEnd w:id="284"/>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85" w:name="xdx_98D_ecustom--PrincipalActivities_c20"/>
            <w:bookmarkEnd w:id="285"/>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storage and transportation of natural gas (LNG/CNG)</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Sichuan Huayou Huitong New Material Co. Ltd. (“Huayou Huitong”)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Chengdu,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6" w:name="xdx_909_edei--EntityIncorporationDateOfI"/>
            <w:bookmarkEnd w:id="286"/>
            <w:r>
              <w:rPr>
                <w:rFonts w:ascii="Times New Roman;Times;Serif" w:hAnsi="Times New Roman;Times;Serif"/>
                <w:b w:val="false"/>
                <w:i w:val="false"/>
                <w:caps w:val="false"/>
                <w:smallCaps w:val="false"/>
                <w:sz w:val="20"/>
              </w:rPr>
              <w:t>May 29, 2020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7" w:name="xdx_90D_eus-gaap--EquityMethodInvestment"/>
            <w:bookmarkEnd w:id="287"/>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88" w:name="xdx_98A_ecustom--PrincipalActivities_c20"/>
            <w:bookmarkEnd w:id="288"/>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and sales of bonded composite pipes</w:t>
            </w:r>
          </w:p>
        </w:tc>
      </w:tr>
      <w:tr>
        <w:trPr/>
        <w:tc>
          <w:tcPr>
            <w:tcW w:w="274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5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Breslin Oil and Gas Service Co., Ltd. (“Xinjiang Breslin”)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Xinjiang,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9" w:name="xdx_901_edei--EntityIncorporationDateOfI"/>
            <w:bookmarkEnd w:id="289"/>
            <w:r>
              <w:rPr>
                <w:rFonts w:ascii="Times New Roman;Times;Serif" w:hAnsi="Times New Roman;Times;Serif"/>
                <w:b w:val="false"/>
                <w:i w:val="false"/>
                <w:caps w:val="false"/>
                <w:smallCaps w:val="false"/>
                <w:sz w:val="20"/>
              </w:rPr>
              <w:t>August 22,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0" w:name="xdx_90F_eus-gaap--EquityMethodInvestment"/>
            <w:bookmarkEnd w:id="290"/>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91" w:name="xdx_984_ecustom--PrincipalActivities_c20"/>
            <w:bookmarkEnd w:id="291"/>
          </w:p>
        </w:tc>
        <w:tc>
          <w:tcPr>
            <w:tcW w:w="34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oil and gas professional equipment and instruments, and sales of oil and gas engineering technical service</w:t>
            </w:r>
          </w:p>
        </w:tc>
      </w:tr>
    </w:tbl>
    <w:p>
      <w:pPr>
        <w:pStyle w:val="TextBody"/>
        <w:bidi w:val="0"/>
        <w:spacing w:before="0" w:after="283"/>
        <w:jc w:val="left"/>
        <w:rPr/>
      </w:pPr>
      <w:r>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2789"/>
        <w:gridCol w:w="60"/>
        <w:gridCol w:w="1285"/>
        <w:gridCol w:w="60"/>
        <w:gridCol w:w="1316"/>
        <w:gridCol w:w="60"/>
        <w:gridCol w:w="1169"/>
        <w:gridCol w:w="60"/>
        <w:gridCol w:w="3406"/>
      </w:tblGrid>
      <w:tr>
        <w:trPr/>
        <w:tc>
          <w:tcPr>
            <w:tcW w:w="278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Entity</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6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Percentage of </w:t>
              <w:br/>
              <w:t>beneficial ownership</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activities</w:t>
            </w:r>
          </w:p>
        </w:tc>
      </w:tr>
      <w:tr>
        <w:trPr/>
        <w:tc>
          <w:tcPr>
            <w:tcW w:w="27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Lionize Engineering Technology Limited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Hongkong,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2" w:name="xdx_90D_edei--EntityIncorporationDateOfI"/>
            <w:bookmarkEnd w:id="292"/>
            <w:r>
              <w:rPr>
                <w:rFonts w:ascii="Times New Roman;Times;Serif" w:hAnsi="Times New Roman;Times;Serif"/>
                <w:b w:val="false"/>
                <w:i w:val="false"/>
                <w:caps w:val="false"/>
                <w:smallCaps w:val="false"/>
                <w:sz w:val="20"/>
              </w:rPr>
              <w:t>February 21,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3" w:name="xdx_907_eus-gaap--EquityMethodInvestment"/>
            <w:bookmarkEnd w:id="293"/>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94" w:name="xdx_986_ecustom--PrincipalActivities_c20"/>
            <w:bookmarkEnd w:id="294"/>
          </w:p>
        </w:tc>
        <w:tc>
          <w:tcPr>
            <w:tcW w:w="34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operations as a holding company subsidiary</w:t>
            </w:r>
          </w:p>
        </w:tc>
      </w:tr>
      <w:tr>
        <w:trPr/>
        <w:tc>
          <w:tcPr>
            <w:tcW w:w="27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Suqian Hanmo Energy Service Co., Ltd. (“Suqian Hanmo”)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Jiangsu,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5" w:name="xdx_90A_edei--EntityIncorporationDateOfI"/>
            <w:bookmarkEnd w:id="295"/>
            <w:r>
              <w:rPr>
                <w:rFonts w:ascii="Times New Roman;Times;Serif" w:hAnsi="Times New Roman;Times;Serif"/>
                <w:b w:val="false"/>
                <w:i w:val="false"/>
                <w:caps w:val="false"/>
                <w:smallCaps w:val="false"/>
                <w:sz w:val="20"/>
              </w:rPr>
              <w:t>April 21,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6" w:name="xdx_906_eus-gaap--EquityMethodInvestment"/>
            <w:bookmarkEnd w:id="296"/>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297" w:name="xdx_986_ecustom--PrincipalActivities_c20"/>
            <w:bookmarkEnd w:id="297"/>
          </w:p>
        </w:tc>
        <w:tc>
          <w:tcPr>
            <w:tcW w:w="34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oil and gas professional equipment and instruments, and sales of oil and gas engineering technical service</w:t>
            </w:r>
          </w:p>
        </w:tc>
      </w:tr>
      <w:tr>
        <w:trPr/>
        <w:tc>
          <w:tcPr>
            <w:tcW w:w="27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LSE Energy International Co., Ltd (“LSE Energy International”)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Saudi Aribia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8" w:name="xdx_905_edei--EntityIncorporationDateOfI"/>
            <w:bookmarkEnd w:id="298"/>
            <w:r>
              <w:rPr>
                <w:rFonts w:ascii="Times New Roman;Times;Serif" w:hAnsi="Times New Roman;Times;Serif"/>
                <w:b w:val="false"/>
                <w:i w:val="false"/>
                <w:caps w:val="false"/>
                <w:smallCaps w:val="false"/>
                <w:sz w:val="20"/>
              </w:rPr>
              <w:t>June 29,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99" w:name="xdx_902_eus-gaap--EquityMethodInvestment"/>
            <w:bookmarkEnd w:id="299"/>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300" w:name="xdx_985_ecustom--PrincipalActivities_c20"/>
            <w:bookmarkEnd w:id="300"/>
          </w:p>
        </w:tc>
        <w:tc>
          <w:tcPr>
            <w:tcW w:w="34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operations</w:t>
            </w:r>
          </w:p>
        </w:tc>
      </w:tr>
      <w:tr>
        <w:trPr/>
        <w:tc>
          <w:tcPr>
            <w:tcW w:w="27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LSE Energy America Inc (“LSE Energy America”)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1" w:name="xdx_906_edei--EntityIncorporationDateOfI"/>
            <w:bookmarkEnd w:id="301"/>
            <w:r>
              <w:rPr>
                <w:rFonts w:ascii="Times New Roman;Times;Serif" w:hAnsi="Times New Roman;Times;Serif"/>
                <w:b w:val="false"/>
                <w:i w:val="false"/>
                <w:caps w:val="false"/>
                <w:smallCaps w:val="false"/>
                <w:sz w:val="20"/>
              </w:rPr>
              <w:t>August 14,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2" w:name="xdx_907_eus-gaap--EquityMethodInvestment"/>
            <w:bookmarkEnd w:id="302"/>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303" w:name="xdx_98F_ecustom--PrincipalActivities_c20"/>
            <w:bookmarkEnd w:id="303"/>
          </w:p>
        </w:tc>
        <w:tc>
          <w:tcPr>
            <w:tcW w:w="34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operations</w:t>
            </w:r>
          </w:p>
        </w:tc>
      </w:tr>
      <w:tr>
        <w:trPr/>
        <w:tc>
          <w:tcPr>
            <w:tcW w:w="27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Oil Blue Ocean Hydrogen Energy Technology Co., Ltd. (“China Oil Hydrogen Energy”)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4" w:name="xdx_90E_edei--EntityIncorporationDateOfI"/>
            <w:bookmarkEnd w:id="304"/>
            <w:r>
              <w:rPr>
                <w:rFonts w:ascii="Times New Roman;Times;Serif" w:hAnsi="Times New Roman;Times;Serif"/>
                <w:b w:val="false"/>
                <w:i w:val="false"/>
                <w:caps w:val="false"/>
                <w:smallCaps w:val="false"/>
                <w:sz w:val="20"/>
              </w:rPr>
              <w:t>August 5,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5" w:name="xdx_904_eus-gaap--EquityMethodInvestment"/>
            <w:bookmarkEnd w:id="305"/>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306" w:name="xdx_984_ecustom--PrincipalActivities_c20"/>
            <w:bookmarkEnd w:id="306"/>
          </w:p>
        </w:tc>
        <w:tc>
          <w:tcPr>
            <w:tcW w:w="34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operations</w:t>
            </w:r>
          </w:p>
        </w:tc>
      </w:tr>
      <w:tr>
        <w:trPr/>
        <w:tc>
          <w:tcPr>
            <w:tcW w:w="278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0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8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Oil Blue Ocean Equipment (Sichuan) Co.,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Chengdu, China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7" w:name="xdx_901_edei--EntityIncorporationDateOfI"/>
            <w:bookmarkEnd w:id="307"/>
            <w:r>
              <w:rPr>
                <w:rFonts w:ascii="Times New Roman;Times;Serif" w:hAnsi="Times New Roman;Times;Serif"/>
                <w:b w:val="false"/>
                <w:i w:val="false"/>
                <w:caps w:val="false"/>
                <w:smallCaps w:val="false"/>
                <w:sz w:val="20"/>
              </w:rPr>
              <w:t>December 11,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08" w:name="xdx_90A_eus-gaap--EquityMethodInvestment"/>
            <w:bookmarkEnd w:id="308"/>
            <w:r>
              <w:rPr>
                <w:rFonts w:ascii="Times New Roman;Times;Serif" w:hAnsi="Times New Roman;Times;Serif"/>
                <w:b w:val="false"/>
                <w:i w:val="false"/>
                <w:caps w:val="false"/>
                <w:smallCaps w:val="false"/>
                <w:sz w:val="20"/>
              </w:rPr>
              <w:t>100%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bookmarkStart w:id="309" w:name="xdx_986_ecustom--PrincipalActivities_c20"/>
            <w:bookmarkEnd w:id="309"/>
          </w:p>
        </w:tc>
        <w:tc>
          <w:tcPr>
            <w:tcW w:w="3406"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and sale of oil and gas professional equipment and instruments, and sales of oil and gas engineering technical service</w:t>
            </w:r>
          </w:p>
        </w:tc>
      </w:tr>
    </w:tbl>
    <w:p>
      <w:pPr>
        <w:pStyle w:val="TextBody"/>
        <w:bidi w:val="0"/>
        <w:spacing w:before="0" w:after="0"/>
        <w:ind w:left="0" w:right="0" w:hanging="0"/>
        <w:jc w:val="both"/>
        <w:rPr>
          <w:caps w:val="false"/>
          <w:smallCaps w:val="false"/>
        </w:rPr>
      </w:pPr>
      <w:bookmarkStart w:id="310" w:name="xdx_8AB_zntF6VtkWep9"/>
      <w:bookmarkEnd w:id="31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Public Offering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20, 2024, Leishen Cayman (Nasdaq: LSE) consummated its initial public offering (the “IPO”) of </w:t>
      </w:r>
      <w:bookmarkStart w:id="311" w:name="xdx_906_eus-gaap--StockIssuedDuringPerio"/>
      <w:bookmarkEnd w:id="311"/>
      <w:r>
        <w:rPr>
          <w:rFonts w:ascii="Times New Roman;Times;Serif" w:hAnsi="Times New Roman;Times;Serif"/>
          <w:b w:val="false"/>
          <w:i w:val="false"/>
          <w:caps w:val="false"/>
          <w:smallCaps w:val="false"/>
          <w:sz w:val="20"/>
        </w:rPr>
        <w:t>1,375,000 ordinary shares, par value $</w:t>
      </w:r>
      <w:bookmarkStart w:id="312" w:name="xdx_906_eus-gaap--CommonStockParOrStated"/>
      <w:bookmarkEnd w:id="312"/>
      <w:r>
        <w:rPr>
          <w:rFonts w:ascii="Times New Roman;Times;Serif" w:hAnsi="Times New Roman;Times;Serif"/>
          <w:b w:val="false"/>
          <w:i w:val="false"/>
          <w:caps w:val="false"/>
          <w:smallCaps w:val="false"/>
          <w:sz w:val="20"/>
        </w:rPr>
        <w:t>0.001 at $</w:t>
      </w:r>
      <w:bookmarkStart w:id="313" w:name="xdx_90C_eus-gaap--SharePrice_iI_pid_c202"/>
      <w:bookmarkEnd w:id="313"/>
      <w:r>
        <w:rPr>
          <w:rFonts w:ascii="Times New Roman;Times;Serif" w:hAnsi="Times New Roman;Times;Serif"/>
          <w:b w:val="false"/>
          <w:i w:val="false"/>
          <w:caps w:val="false"/>
          <w:smallCaps w:val="false"/>
          <w:sz w:val="20"/>
        </w:rPr>
        <w:t>4.00 per share (each, an “Ordinary Share”), with gross proceeds of $</w:t>
      </w:r>
      <w:bookmarkStart w:id="314" w:name="xdx_904_eus-gaap--ProceedsFromIssuanceIn"/>
      <w:bookmarkEnd w:id="314"/>
      <w:r>
        <w:rPr>
          <w:rFonts w:ascii="Times New Roman;Times;Serif" w:hAnsi="Times New Roman;Times;Serif"/>
          <w:b w:val="false"/>
          <w:i w:val="false"/>
          <w:caps w:val="false"/>
          <w:smallCaps w:val="false"/>
          <w:sz w:val="20"/>
        </w:rPr>
        <w:t xml:space="preserve">5.5 million. On January 8, 2025, Leishen Cayman issued and sold </w:t>
      </w:r>
      <w:bookmarkStart w:id="315" w:name="xdx_909_ecustom--CommonStockSharesIssued"/>
      <w:bookmarkEnd w:id="315"/>
      <w:r>
        <w:rPr>
          <w:rFonts w:ascii="Times New Roman;Times;Serif" w:hAnsi="Times New Roman;Times;Serif"/>
          <w:b w:val="false"/>
          <w:i w:val="false"/>
          <w:caps w:val="false"/>
          <w:smallCaps w:val="false"/>
          <w:sz w:val="20"/>
        </w:rPr>
        <w:t>150,000 additional Ordinary Shares at $</w:t>
      </w:r>
      <w:bookmarkStart w:id="316" w:name="xdx_904_eus-gaap--SharePrice_iI_pid_c202"/>
      <w:bookmarkEnd w:id="316"/>
      <w:r>
        <w:rPr>
          <w:rFonts w:ascii="Times New Roman;Times;Serif" w:hAnsi="Times New Roman;Times;Serif"/>
          <w:b w:val="false"/>
          <w:i w:val="false"/>
          <w:caps w:val="false"/>
          <w:smallCaps w:val="false"/>
          <w:sz w:val="20"/>
        </w:rPr>
        <w:t>4.00 per share, pursuant to the partial exercise of the Over-Allotment Option, resulting in additional gross proceeds of $</w:t>
      </w:r>
      <w:bookmarkStart w:id="317" w:name="xdx_908_eus-gaap--ProceedsFromIssuanceOf"/>
      <w:bookmarkEnd w:id="317"/>
      <w:r>
        <w:rPr>
          <w:rFonts w:ascii="Times New Roman;Times;Serif" w:hAnsi="Times New Roman;Times;Serif"/>
          <w:b w:val="false"/>
          <w:i w:val="false"/>
          <w:caps w:val="false"/>
          <w:smallCaps w:val="false"/>
          <w:sz w:val="20"/>
        </w:rPr>
        <w:t>600,000. As a result, Leishen Cayman raised aggregate gross proceeds of $</w:t>
      </w:r>
      <w:bookmarkStart w:id="318" w:name="xdx_90B_eus-gaap--ProceedsFromIssuanceIn"/>
      <w:bookmarkEnd w:id="318"/>
      <w:r>
        <w:rPr>
          <w:rFonts w:ascii="Times New Roman;Times;Serif" w:hAnsi="Times New Roman;Times;Serif"/>
          <w:b w:val="false"/>
          <w:i w:val="false"/>
          <w:caps w:val="false"/>
          <w:smallCaps w:val="false"/>
          <w:sz w:val="20"/>
        </w:rPr>
        <w:t>6.1 million in the IPO. After deducting the underwriting discounts and commissions, the Company received total net proceeds of $</w:t>
      </w:r>
      <w:bookmarkStart w:id="319" w:name="xdx_90F_eus-gaap--ProceedsFromIssuanceOf"/>
      <w:bookmarkEnd w:id="319"/>
      <w:r>
        <w:rPr>
          <w:rFonts w:ascii="Times New Roman;Times;Serif" w:hAnsi="Times New Roman;Times;Serif"/>
          <w:b w:val="false"/>
          <w:i w:val="false"/>
          <w:caps w:val="false"/>
          <w:smallCaps w:val="false"/>
          <w:sz w:val="20"/>
        </w:rPr>
        <w:t>5.4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Adoption of Dual-Class Share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2025, the Company’s shareholders approved an amendment to the memorandum and articles of association to adopt a dual-class share structure. The authorized share capital of the Company is US$</w:t>
      </w:r>
      <w:bookmarkStart w:id="320" w:name="xdx_905_eus-gaap--StockIssuedDuringPerio"/>
      <w:bookmarkEnd w:id="320"/>
      <w:r>
        <w:rPr>
          <w:rFonts w:ascii="Times New Roman;Times;Serif" w:hAnsi="Times New Roman;Times;Serif"/>
          <w:b w:val="false"/>
          <w:i w:val="false"/>
          <w:caps w:val="false"/>
          <w:smallCaps w:val="false"/>
          <w:sz w:val="20"/>
        </w:rPr>
        <w:t xml:space="preserve">50,000 divided into </w:t>
      </w:r>
      <w:bookmarkStart w:id="321" w:name="xdx_908_eus-gaap--StockIssuedDuringPerio"/>
      <w:bookmarkEnd w:id="321"/>
      <w:r>
        <w:rPr>
          <w:rFonts w:ascii="Times New Roman;Times;Serif" w:hAnsi="Times New Roman;Times;Serif"/>
          <w:b w:val="false"/>
          <w:i w:val="false"/>
          <w:caps w:val="false"/>
          <w:smallCaps w:val="false"/>
          <w:sz w:val="20"/>
        </w:rPr>
        <w:t>467,290,000 Class A Ordinary Shares of a nominal or par value of US$</w:t>
      </w:r>
      <w:bookmarkStart w:id="322" w:name="xdx_902_eus-gaap--CommonStockParOrStated"/>
      <w:bookmarkEnd w:id="322"/>
      <w:r>
        <w:rPr>
          <w:rFonts w:ascii="Times New Roman;Times;Serif" w:hAnsi="Times New Roman;Times;Serif"/>
          <w:b w:val="false"/>
          <w:i w:val="false"/>
          <w:caps w:val="false"/>
          <w:smallCaps w:val="false"/>
          <w:sz w:val="20"/>
        </w:rPr>
        <w:t xml:space="preserve">0.001 each and </w:t>
      </w:r>
      <w:bookmarkStart w:id="323" w:name="xdx_909_eus-gaap--StockIssuedDuringPerio"/>
      <w:bookmarkEnd w:id="323"/>
      <w:r>
        <w:rPr>
          <w:rFonts w:ascii="Times New Roman;Times;Serif" w:hAnsi="Times New Roman;Times;Serif"/>
          <w:b w:val="false"/>
          <w:i w:val="false"/>
          <w:caps w:val="false"/>
          <w:smallCaps w:val="false"/>
          <w:sz w:val="20"/>
        </w:rPr>
        <w:t>32,710,000 Class B Ordinary Shares of a nominal or par value of US$</w:t>
      </w:r>
      <w:bookmarkStart w:id="324" w:name="xdx_908_eus-gaap--CommonStockParOrStated"/>
      <w:bookmarkEnd w:id="324"/>
      <w:r>
        <w:rPr>
          <w:rFonts w:ascii="Times New Roman;Times;Serif" w:hAnsi="Times New Roman;Times;Serif"/>
          <w:b w:val="false"/>
          <w:i w:val="false"/>
          <w:caps w:val="false"/>
          <w:smallCaps w:val="false"/>
          <w:sz w:val="20"/>
        </w:rPr>
        <w:t xml:space="preserve">0.001 each. All of the issued and outstanding ordinary shares (except the </w:t>
      </w:r>
      <w:bookmarkStart w:id="325" w:name="xdx_900_eus-gaap--CommonStockSharesIssue"/>
      <w:bookmarkStart w:id="326" w:name="xdx_907_eus-gaap--CommonStockSharesIssue"/>
      <w:bookmarkEnd w:id="325"/>
      <w:bookmarkEnd w:id="326"/>
      <w:r>
        <w:rPr>
          <w:rFonts w:ascii="Times New Roman;Times;Serif" w:hAnsi="Times New Roman;Times;Serif"/>
          <w:b w:val="false"/>
          <w:i w:val="false"/>
          <w:caps w:val="false"/>
          <w:smallCaps w:val="false"/>
          <w:sz w:val="20"/>
        </w:rPr>
        <w:t xml:space="preserve">6,355,000 and </w:t>
      </w:r>
      <w:bookmarkStart w:id="327" w:name="xdx_90F_eus-gaap--CommonStockSharesOutst"/>
      <w:bookmarkStart w:id="328" w:name="xdx_90A_eus-gaap--CommonStockSharesOutst"/>
      <w:bookmarkEnd w:id="327"/>
      <w:bookmarkEnd w:id="328"/>
      <w:r>
        <w:rPr>
          <w:rFonts w:ascii="Times New Roman;Times;Serif" w:hAnsi="Times New Roman;Times;Serif"/>
          <w:b w:val="false"/>
          <w:i w:val="false"/>
          <w:caps w:val="false"/>
          <w:smallCaps w:val="false"/>
          <w:sz w:val="20"/>
        </w:rPr>
        <w:t>6,355,000 held by Polar Energy Company Limited and WISE-POWER ENERGY SERVICES CO., LTD., respectively, were re-designated into Class A ordinary shares of par value US$</w:t>
      </w:r>
      <w:bookmarkStart w:id="329" w:name="xdx_904_eus-gaap--CommonStockParOrStated"/>
      <w:bookmarkStart w:id="330" w:name="xdx_907_eus-gaap--CommonStockParOrStated"/>
      <w:bookmarkEnd w:id="329"/>
      <w:bookmarkEnd w:id="330"/>
      <w:r>
        <w:rPr>
          <w:rFonts w:ascii="Times New Roman;Times;Serif" w:hAnsi="Times New Roman;Times;Serif"/>
          <w:b w:val="false"/>
          <w:i w:val="false"/>
          <w:caps w:val="false"/>
          <w:smallCaps w:val="false"/>
          <w:sz w:val="20"/>
        </w:rPr>
        <w:t xml:space="preserve">0.001 each; the </w:t>
      </w:r>
      <w:bookmarkStart w:id="331" w:name="xdx_90B_eus-gaap--CommonStockSharesIssue"/>
      <w:bookmarkStart w:id="332" w:name="xdx_90D_eus-gaap--CommonStockSharesIssue"/>
      <w:bookmarkEnd w:id="331"/>
      <w:bookmarkEnd w:id="332"/>
      <w:r>
        <w:rPr>
          <w:rFonts w:ascii="Times New Roman;Times;Serif" w:hAnsi="Times New Roman;Times;Serif"/>
          <w:b w:val="false"/>
          <w:i w:val="false"/>
          <w:caps w:val="false"/>
          <w:smallCaps w:val="false"/>
          <w:sz w:val="20"/>
        </w:rPr>
        <w:t xml:space="preserve">6,355,000 and </w:t>
      </w:r>
      <w:bookmarkStart w:id="333" w:name="xdx_900_eus-gaap--CommonStockSharesOutst"/>
      <w:bookmarkStart w:id="334" w:name="xdx_90F_eus-gaap--CommonStockSharesOutst"/>
      <w:bookmarkEnd w:id="333"/>
      <w:bookmarkEnd w:id="334"/>
      <w:r>
        <w:rPr>
          <w:rFonts w:ascii="Times New Roman;Times;Serif" w:hAnsi="Times New Roman;Times;Serif"/>
          <w:b w:val="false"/>
          <w:i w:val="false"/>
          <w:caps w:val="false"/>
          <w:smallCaps w:val="false"/>
          <w:sz w:val="20"/>
        </w:rPr>
        <w:t>6,355,000 Ordinary Shares held by Polar Energy Company Limited and WISEPOWER ENERGY SERVICES CO., LTD., respectively, were re-designated into class B ordinary shares of a par value of US$</w:t>
      </w:r>
      <w:bookmarkStart w:id="335" w:name="xdx_90B_eus-gaap--CommonStockParOrStated"/>
      <w:bookmarkStart w:id="336" w:name="xdx_90A_eus-gaap--CommonStockParOrStated"/>
      <w:bookmarkEnd w:id="335"/>
      <w:bookmarkEnd w:id="336"/>
      <w:r>
        <w:rPr>
          <w:rFonts w:ascii="Times New Roman;Times;Serif" w:hAnsi="Times New Roman;Times;Serif"/>
          <w:b w:val="false"/>
          <w:i w:val="false"/>
          <w:caps w:val="false"/>
          <w:smallCaps w:val="false"/>
          <w:sz w:val="20"/>
        </w:rPr>
        <w:t xml:space="preserve">0.001 each; </w:t>
      </w:r>
      <w:bookmarkStart w:id="337" w:name="xdx_90D_eus-gaap--CommonStockSharesAutho"/>
      <w:bookmarkStart w:id="338" w:name="xdx_905_eus-gaap--CommonStockSharesAutho"/>
      <w:bookmarkEnd w:id="337"/>
      <w:bookmarkEnd w:id="338"/>
      <w:r>
        <w:rPr>
          <w:rFonts w:ascii="Times New Roman;Times;Serif" w:hAnsi="Times New Roman;Times;Serif"/>
          <w:b w:val="false"/>
          <w:i w:val="false"/>
          <w:caps w:val="false"/>
          <w:smallCaps w:val="false"/>
          <w:sz w:val="20"/>
        </w:rPr>
        <w:t>20,000,000 of the authorized but unissued ordinary shares were re-designated into Class B ordinary shares of par value US$</w:t>
      </w:r>
      <w:bookmarkStart w:id="339" w:name="xdx_90B_eus-gaap--CommonStockParOrStated"/>
      <w:bookmarkEnd w:id="339"/>
      <w:r>
        <w:rPr>
          <w:rFonts w:ascii="Times New Roman;Times;Serif" w:hAnsi="Times New Roman;Times;Serif"/>
          <w:b w:val="false"/>
          <w:i w:val="false"/>
          <w:caps w:val="false"/>
          <w:smallCaps w:val="false"/>
          <w:sz w:val="20"/>
        </w:rPr>
        <w:t>0.001 each; and all of the remaining authorized but unissued ordinary shares were re-designated into Class A ordinary shares of par value US$</w:t>
      </w:r>
      <w:bookmarkStart w:id="340" w:name="xdx_907_eus-gaap--CommonStockParOrStated"/>
      <w:bookmarkEnd w:id="340"/>
      <w:r>
        <w:rPr>
          <w:rFonts w:ascii="Times New Roman;Times;Serif" w:hAnsi="Times New Roman;Times;Serif"/>
          <w:b w:val="false"/>
          <w:i w:val="false"/>
          <w:caps w:val="false"/>
          <w:smallCaps w:val="false"/>
          <w:sz w:val="20"/>
        </w:rPr>
        <w:t xml:space="preserve">0.001 each. Under the new structure, the Company’s share capital consists of Class A Ordinary Shares and Class B Ordinary Shares. </w:t>
      </w:r>
      <w:bookmarkStart w:id="341" w:name="xdx_903_eus-gaap--CommonStockVotingRight"/>
      <w:bookmarkEnd w:id="341"/>
      <w:r>
        <w:rPr>
          <w:rFonts w:ascii="Times New Roman;Times;Serif" w:hAnsi="Times New Roman;Times;Serif"/>
          <w:b w:val="false"/>
          <w:i w:val="false"/>
          <w:caps w:val="false"/>
          <w:smallCaps w:val="false"/>
          <w:sz w:val="20"/>
        </w:rPr>
        <w:t xml:space="preserve">Each Class A Ordinary Share carries one (1) vote per share, and </w:t>
      </w:r>
      <w:bookmarkStart w:id="342" w:name="xdx_901_eus-gaap--CommonStockVotingRight"/>
      <w:bookmarkEnd w:id="342"/>
      <w:r>
        <w:rPr>
          <w:rFonts w:ascii="Times New Roman;Times;Serif" w:hAnsi="Times New Roman;Times;Serif"/>
          <w:b w:val="false"/>
          <w:i w:val="false"/>
          <w:caps w:val="false"/>
          <w:smallCaps w:val="false"/>
          <w:sz w:val="20"/>
        </w:rPr>
        <w:t>each Class B Ordinary Share carries twenty-five (25) votes per share and the other rights attached to it as set out in the Company’s amended and restated memorandum and articles.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3" w:name="xdx_809_eus-gaap--SignificantAccountingP"/>
      <w:bookmarkEnd w:id="343"/>
      <w:r>
        <w:rPr>
          <w:rFonts w:ascii="Times New Roman;Times;Serif" w:hAnsi="Times New Roman;Times;Serif"/>
          <w:b/>
          <w:i w:val="false"/>
          <w:caps w:val="false"/>
          <w:smallCaps w:val="false"/>
          <w:sz w:val="20"/>
        </w:rPr>
        <w:t xml:space="preserve">NOTE 2 – </w:t>
      </w:r>
      <w:bookmarkStart w:id="344" w:name="xdx_82D_z1Z5Aob86kmh"/>
      <w:bookmarkEnd w:id="344"/>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5" w:name="xdx_86F_zREICtKKQetl"/>
      <w:bookmarkStart w:id="346" w:name="xdx_84C_eus-gaap--BasisOfAccountingPolic"/>
      <w:bookmarkEnd w:id="345"/>
      <w:bookmarkEnd w:id="346"/>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were prepared in accordance with accounting principles generally accepted in the U.S. of America (“U.S. GAAP”) and the rules and regulations of the Securities Exchange Commission (“SEC”). All adjustments necessary to present fairly in all material respects the financial position, results of operations and cash flows for all periods presented were made. While these condensed consolidated financial statements are prepared in accordance with US GAAP, they do not include all the information required for annual financial statements and should be read in conjunction with the audited condensed consolidated financial statements and accompanying notes included in the Company’s Form 20-F for the year ended September 30, 2025,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7" w:name="xdx_869_zcX7NuT48Ry8"/>
      <w:bookmarkStart w:id="348" w:name="xdx_84D_eus-gaap--ConsolidationPolicyTex"/>
      <w:bookmarkEnd w:id="347"/>
      <w:bookmarkEnd w:id="348"/>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financial statements of the Company and its majority-owned subsidiaries. All transactions and balances between the Company and its subsidiaries were eliminated upon consolidation.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9" w:name="xdx_866_z0JNugKwCGbh"/>
      <w:bookmarkStart w:id="350" w:name="xdx_846_ecustom--NonControllingInterests"/>
      <w:bookmarkEnd w:id="349"/>
      <w:bookmarkEnd w:id="350"/>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recognized to reflect the portion of subsidiary’s equity that is not attributable, directly or indirectly, to the Company as the controlling shareholder. Non-controlling interests are presented as a separate line item in the equity section of the Company’s consolidated balance sheets and are separately disclosed in the Company’s consolidated statements of operations and comprehensive (loss) income to distinguish the interests from that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1" w:name="xdx_864_zUchXLlYoNug"/>
      <w:bookmarkStart w:id="352" w:name="xdx_844_eus-gaap--UseOfEstimates_zG6pxez"/>
      <w:bookmarkEnd w:id="351"/>
      <w:bookmarkEnd w:id="352"/>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in conformity with U.S. GAAP, management makes estimates and assumptions that affect the reported amounts of assets and liabilities and disclosures of contingent assets and liabilities at the dates of the consolidated financial statements, as well as the reported amounts of revenue and expenses during the reporting periods. Significant items subject to such estimates and assumptions include, but are not limited to, the assessment of the allowance for credit losses, the valuation of inventories, useful lives of property and equipment and intangible assets, uncertain tax positions and realization of deferred tax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3" w:name="xdx_868_zxHeUijbKY5i"/>
      <w:bookmarkStart w:id="354" w:name="xdx_84F_eus-gaap--ForeignCurrencyTransac"/>
      <w:bookmarkEnd w:id="353"/>
      <w:bookmarkEnd w:id="354"/>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and the consolidated statements of cash flows are translated at the average rate of exchange during the reporting period. Assets and liabilities at the balance sheet date are translated at the applicable rates of exchange in effect at that date. The equity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equity. Gains and losses from foreign currency transactions are included in the Company’s consolidated statements of operations and comprehensive income.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RMB against USD and other currencies fluctuates and is affected by, among other things, changes in the PRC’s political and economic conditions. Any significant revaluation of RMB may materially affect the Company’s financial condition in terms of USD reporting. The following table outlines the currency exchange rates used in preparing the condensed consolidated financial statements: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5" w:name="xdx_8BA_zC0qBSXjJkPk"/>
      <w:bookmarkStart w:id="356" w:name="xdx_897_eus-gaap--ScheduleOfIntercompany"/>
      <w:bookmarkEnd w:id="355"/>
      <w:bookmarkEnd w:id="356"/>
      <w:r>
        <w:rPr>
          <w:rFonts w:ascii="Times New Roman;Times;Serif" w:hAnsi="Times New Roman;Times;Serif"/>
          <w:b w:val="false"/>
          <w:i w:val="false"/>
          <w:caps w:val="false"/>
          <w:smallCaps w:val="false"/>
          <w:sz w:val="20"/>
        </w:rPr>
        <w:t>SCHEDULE OF FOREIGN CURRENCY TRANSLATION </w:t>
      </w:r>
    </w:p>
    <w:tbl>
      <w:tblPr>
        <w:tblW w:w="8116" w:type="dxa"/>
        <w:jc w:val="left"/>
        <w:tblInd w:w="0" w:type="dxa"/>
        <w:tblLayout w:type="fixed"/>
        <w:tblCellMar>
          <w:top w:w="0" w:type="dxa"/>
          <w:left w:w="0" w:type="dxa"/>
          <w:bottom w:w="0" w:type="dxa"/>
          <w:right w:w="0" w:type="dxa"/>
        </w:tblCellMar>
      </w:tblPr>
      <w:tblGrid>
        <w:gridCol w:w="1805"/>
        <w:gridCol w:w="60"/>
        <w:gridCol w:w="116"/>
        <w:gridCol w:w="1328"/>
        <w:gridCol w:w="60"/>
        <w:gridCol w:w="60"/>
        <w:gridCol w:w="119"/>
        <w:gridCol w:w="1355"/>
        <w:gridCol w:w="60"/>
        <w:gridCol w:w="60"/>
        <w:gridCol w:w="113"/>
        <w:gridCol w:w="1283"/>
        <w:gridCol w:w="113"/>
        <w:gridCol w:w="113"/>
        <w:gridCol w:w="113"/>
        <w:gridCol w:w="1283"/>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05" w:type="dxa"/>
            <w:tcBorders>
              <w:bottom w:val="single" w:sz="8" w:space="0" w:color="000000"/>
            </w:tcBorders>
            <w:tcMar>
              <w:bottom w:w="28" w:type="dxa"/>
            </w:tcMar>
            <w:vAlign w:val="center"/>
          </w:tcPr>
          <w:p>
            <w:pPr>
              <w:pStyle w:val="TableContents"/>
              <w:bidi w:val="0"/>
              <w:spacing w:before="0" w:after="283"/>
              <w:jc w:val="left"/>
              <w:rPr>
                <w:b/>
              </w:rPr>
            </w:pPr>
            <w:r>
              <w:rPr>
                <w:b/>
              </w:rPr>
              <w:t>Foreign currency</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Sheet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Balance Sheet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Profits/Loss</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Profits/Loss</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b/>
              </w:rPr>
            </w:pPr>
            <w:r>
              <w:rPr>
                <w:b/>
              </w:rPr>
              <w:t>RMB:1USD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bookmarkStart w:id="357" w:name="xdx_906_eus-gaap--ForeignCurrencyExchang"/>
            <w:bookmarkEnd w:id="357"/>
            <w:r>
              <w:rPr/>
              <w:t>6.9194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bookmarkStart w:id="358" w:name="xdx_900_eus-gaap--ForeignCurrencyExchang"/>
            <w:bookmarkEnd w:id="358"/>
            <w:r>
              <w:rPr/>
              <w:t>7.1055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bookmarkStart w:id="359" w:name="xdx_902_ecustom--ForeignCurrencyExchange"/>
            <w:bookmarkEnd w:id="359"/>
            <w:r>
              <w:rPr/>
              <w:t>7.0158</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bookmarkStart w:id="360" w:name="xdx_90C_ecustom--ForeignCurrencyExchange"/>
            <w:bookmarkEnd w:id="360"/>
            <w:r>
              <w:rPr/>
              <w:t>7.1671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1" w:name="xdx_8A8_zZ3NCH2o6Awh"/>
      <w:bookmarkEnd w:id="36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2" w:name="xdx_864_zTYrbcdifFqc"/>
      <w:bookmarkStart w:id="363" w:name="xdx_848_eus-gaap--CashAndCashEquivalents"/>
      <w:bookmarkEnd w:id="362"/>
      <w:bookmarkEnd w:id="363"/>
      <w:r>
        <w:rPr>
          <w:rFonts w:ascii="Times New Roman;Times;Serif" w:hAnsi="Times New Roman;Times;Serif"/>
          <w:b/>
          <w:i/>
          <w:caps w:val="false"/>
          <w:smallCaps w:val="false"/>
          <w:sz w:val="20"/>
        </w:rPr>
        <w:t>Cash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includes cash on hand and demand deposits in accounts maintained with commercial banks. The Company maintains its bank accounts in mainland China and Hong Kong. In accordance with China’s Deposit Insurance Regulation that became effective in May 2015, pursuant to which banking financial institutions, such as commercial banks, established in the PRC are required to purchase deposit insurance for deposits in RMB and in foreign currency placed with them. The insurance limit is RMB </w:t>
      </w:r>
      <w:bookmarkStart w:id="364" w:name="xdx_906_eus-gaap--TimeDepositsAtOrAboveF"/>
      <w:bookmarkEnd w:id="364"/>
      <w:r>
        <w:rPr>
          <w:rFonts w:ascii="Times New Roman;Times;Serif" w:hAnsi="Times New Roman;Times;Serif"/>
          <w:b w:val="false"/>
          <w:i w:val="false"/>
          <w:caps w:val="false"/>
          <w:smallCaps w:val="false"/>
          <w:sz w:val="20"/>
        </w:rPr>
        <w:t>500,000 (approximately US$</w:t>
      </w:r>
      <w:bookmarkStart w:id="365" w:name="xdx_902_eus-gaap--TimeDepositsAtOrAboveF"/>
      <w:bookmarkEnd w:id="365"/>
      <w:r>
        <w:rPr>
          <w:rFonts w:ascii="Times New Roman;Times;Serif" w:hAnsi="Times New Roman;Times;Serif"/>
          <w:b w:val="false"/>
          <w:i w:val="false"/>
          <w:caps w:val="false"/>
          <w:smallCaps w:val="false"/>
          <w:sz w:val="20"/>
        </w:rPr>
        <w:t>70,000) for each bank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6" w:name="xdx_869_z9xptT5C7Rwd"/>
      <w:bookmarkStart w:id="367" w:name="xdx_842_eus-gaap--CashAndCashEquivalents"/>
      <w:bookmarkEnd w:id="366"/>
      <w:bookmarkEnd w:id="367"/>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that is legally restricted as to withdrawal or for use or pledged as security is reported separately on the face of the Company’s consolidated balance sheets. The Company’s restricted cash consisted of cash pledged as security for banker’s letter of guarantee. The Company follows Financial Accounting Standards Board (“FASB”) Accounting Standards Update (“ASU”) No. 2016-18, Statement of Cash Flows (Topic 230): Restricted Cash and presented restricted cash within the ending cash and restricted cash balances on the Company’s consolidated statements of cash flows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8" w:name="xdx_86D_zja6TsNSKY8k"/>
      <w:bookmarkStart w:id="369" w:name="xdx_840_ecustom--ShortTermInvestmentsPol"/>
      <w:bookmarkEnd w:id="368"/>
      <w:bookmarkEnd w:id="369"/>
      <w:r>
        <w:rPr>
          <w:rFonts w:ascii="Times New Roman;Times;Serif" w:hAnsi="Times New Roman;Times;Serif"/>
          <w:b/>
          <w:i/>
          <w:caps w:val="false"/>
          <w:smallCaps w:val="false"/>
          <w:sz w:val="20"/>
        </w:rPr>
        <w:t>Short-term investments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mainly consist of investment in trading securities and held-to-maturity securities. Trading securities include common stocks listed in public market and wealth management products issued by commercial banks that can be redeemed at any time. Held-to-maturity securities primarily consist of wealth management products issued by commercial banks with maturities of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its short-term investments in accordance with FASB ASC Topic 320 “Investments — Debt and Equity Securities.” Dividend and interest income, including amortization of the premium and discount arising at acquisition, for all categories of investments in securities is included in consolidated statements of operations. Net realized and unrealized holding gains and losses for short-term investments are included in net investment income in the consolidated statements of operations. The Company elected the fair value method to measure its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0" w:name="xdx_86F_zOg1TTZ5lJt6"/>
      <w:bookmarkStart w:id="371" w:name="xdx_847_eus-gaap--TradeAndOtherAccountsR"/>
      <w:bookmarkEnd w:id="370"/>
      <w:bookmarkEnd w:id="371"/>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presented net of an allowance for credit losses. The Company follows ASC 326, Credit Losses (“ASC 326”) to account for the related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326, the Company maintains an allowance for credit losses and records the allowance for credit losses as an offset to assets such as accounts receivable, and the estimated credit losses charged to the allowance are presented in the consolidated statements of operations and comprehensive loss. The Company assesses collectability by reviewing receivables on a collective basis where similar characteristics exist, primarily based on the size and nature of specific customer’s receivables (the “CECL model”). In determining the amount of the allowance for credit losses, the Company considers not only the input from its CECL model but also historical collectability based on past due status, the age of the receivable balances, credit quality of customers based on ongoing credit evaluations, current economic conditions, reasonable and supportable forecasts of future economic conditions, and other factors that may affect the Company’s ability to collect from customers. Actual credit losses and related allowance are written off as incurred.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2" w:name="xdx_86E_zE7uQMgWNpt4"/>
      <w:bookmarkStart w:id="373" w:name="xdx_84A_eus-gaap--ReceivablesPolicyTextB"/>
      <w:bookmarkEnd w:id="372"/>
      <w:bookmarkEnd w:id="373"/>
      <w:r>
        <w:rPr>
          <w:rFonts w:ascii="Times New Roman;Times;Serif" w:hAnsi="Times New Roman;Times;Serif"/>
          <w:b/>
          <w:i/>
          <w:caps w:val="false"/>
          <w:smallCaps w:val="false"/>
          <w:sz w:val="20"/>
        </w:rPr>
        <w:t>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 are trade accounts receivable due from various customers where the customers’ banks guaranteed the payments, which are non-interest bearing and generally range from three to six months from the date of issuance. The Company has the ability to submit request for payment to the customer’s bank earlier than the scheduled payment date but will incur an interest charge and a processing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4" w:name="xdx_86F_zUAUBLZpT0nl"/>
      <w:bookmarkStart w:id="375" w:name="xdx_847_ecustom--AdvanceToSuppliersNetPo"/>
      <w:bookmarkEnd w:id="374"/>
      <w:bookmarkEnd w:id="375"/>
      <w:r>
        <w:rPr>
          <w:rFonts w:ascii="Times New Roman;Times;Serif" w:hAnsi="Times New Roman;Times;Serif"/>
          <w:b/>
          <w:i/>
          <w:caps w:val="false"/>
          <w:smallCaps w:val="false"/>
          <w:sz w:val="20"/>
        </w:rPr>
        <w:t>Advance to Suppliers, net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to suppliers are balances paid to suppliers for inventories or services not provided or received. The Company reviews its advance to suppliers on a periodic basis and set up an allowance for credit losses in accordance with ASC 326.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6" w:name="xdx_865_zDBLVYB2O7u2"/>
      <w:bookmarkStart w:id="377" w:name="xdx_84B_eus-gaap--InventoryPolicyTextBlo"/>
      <w:bookmarkEnd w:id="376"/>
      <w:bookmarkEnd w:id="377"/>
      <w:r>
        <w:rPr>
          <w:rFonts w:ascii="Times New Roman;Times;Serif" w:hAnsi="Times New Roman;Times;Serif"/>
          <w:b/>
          <w:i/>
          <w:caps w:val="false"/>
          <w:smallCaps w:val="false"/>
          <w:sz w:val="20"/>
        </w:rPr>
        <w:t>Inventories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 of raw materials, self-produced products, purchased products and compressed natural gas, and are stated at the lower of cost or net realizable value. Raw materials are primarily used to manufacture cleaning equipment which is the Company’s self-produced products, primarily including high-end cleaning equipment accessories. Cost is determined using the weighted average method. The Company periodically evaluates its inventories and will record an allowance for inventories that are either obsolete, slow-moving, may not be saleable or whose cost exceeds its net realizable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produces certain machinery and equipment (e.g., compressors) in anticipation of customer demand. Upon completion of such equipment and receipt of customer orders, the corresponding inventories will be transferred to machinery and equipment in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8" w:name="xdx_86F_zzBshul8gKa"/>
      <w:bookmarkStart w:id="379" w:name="xdx_840_eus-gaap--LoansAndLeasesReceivab"/>
      <w:bookmarkEnd w:id="378"/>
      <w:bookmarkEnd w:id="379"/>
      <w:r>
        <w:rPr>
          <w:rFonts w:ascii="Times New Roman;Times;Serif" w:hAnsi="Times New Roman;Times;Serif"/>
          <w:b/>
          <w:i/>
          <w:caps w:val="false"/>
          <w:smallCaps w:val="false"/>
          <w:sz w:val="20"/>
        </w:rPr>
        <w:t>Loans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receivable primarily refers to loans provided by the Company to third parties and related parties. As of March 31, 2026, loans receivable consists of ten loans provided to seven third parties and one loan to a related party. As of September 30, 2025, loans receivable consists of ten loans provided to six third parties. The average annual interest rate on all loans provided by the Company was approximately </w:t>
      </w:r>
      <w:bookmarkStart w:id="380" w:name="xdx_900_ecustom--LoanReceivablePercenatg"/>
      <w:bookmarkStart w:id="381" w:name="xdx_905_ecustom--LoanReceivablePercenatg"/>
      <w:bookmarkEnd w:id="380"/>
      <w:bookmarkEnd w:id="381"/>
      <w:r>
        <w:rPr>
          <w:rFonts w:ascii="Times New Roman;Times;Serif" w:hAnsi="Times New Roman;Times;Serif"/>
          <w:b w:val="false"/>
          <w:i w:val="false"/>
          <w:caps w:val="false"/>
          <w:smallCaps w:val="false"/>
          <w:sz w:val="20"/>
        </w:rPr>
        <w:t>3.5% as of March 31, 2026 and September 30, 2025. Loans receivables are stated at the historical carrying amount, net of allowance for credit losses,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82" w:name="xdx_867_z8fAWhhHCRj9"/>
      <w:bookmarkStart w:id="383" w:name="xdx_844_eus-gaap--PropertyPlantAndEquipm"/>
      <w:bookmarkEnd w:id="382"/>
      <w:bookmarkEnd w:id="383"/>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carried at cost and are depreciated on the straight-line basis over the estimated useful lives of the underlying assets. The cost of repairs and maintenance is expensed as incurred; major replacements and improvements are capitalized. When assets are retired or disposed of, the cost and accumulated depreciation and amortization are removed from the accounts, and any resulting gains or losses are included in income in the year of disposition. The Company examines the possibility of decreases in the value of its property and equipment, when events or changes in circumstances reflect the fact that their recorded value may not be recoverable.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4" w:name="xdx_89B_ecustom--PropertyPlantAndEquipme"/>
      <w:bookmarkEnd w:id="384"/>
      <w:r>
        <w:rPr>
          <w:rFonts w:ascii="Times New Roman;Times;Serif" w:hAnsi="Times New Roman;Times;Serif"/>
          <w:b w:val="false"/>
          <w:i w:val="false"/>
          <w:caps w:val="false"/>
          <w:smallCaps w:val="false"/>
          <w:sz w:val="20"/>
        </w:rPr>
        <w:t>Estimated useful lives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5" w:name="xdx_8B1_zpt3nlc0PaP9"/>
      <w:bookmarkEnd w:id="385"/>
      <w:r>
        <w:rPr>
          <w:rFonts w:ascii="Times New Roman;Times;Serif" w:hAnsi="Times New Roman;Times;Serif"/>
          <w:b w:val="false"/>
          <w:i w:val="false"/>
          <w:caps w:val="false"/>
          <w:smallCaps w:val="false"/>
          <w:sz w:val="20"/>
        </w:rPr>
        <w:t>SCHEDULE OF ESTIMATED USEFUL LIFE </w:t>
      </w:r>
    </w:p>
    <w:tbl>
      <w:tblPr>
        <w:tblW w:w="3040" w:type="dxa"/>
        <w:jc w:val="left"/>
        <w:tblInd w:w="0" w:type="dxa"/>
        <w:tblLayout w:type="fixed"/>
        <w:tblCellMar>
          <w:top w:w="0" w:type="dxa"/>
          <w:left w:w="0" w:type="dxa"/>
          <w:bottom w:w="28" w:type="dxa"/>
          <w:right w:w="0" w:type="dxa"/>
        </w:tblCellMar>
      </w:tblPr>
      <w:tblGrid>
        <w:gridCol w:w="2015"/>
        <w:gridCol w:w="60"/>
        <w:gridCol w:w="965"/>
      </w:tblGrid>
      <w:tr>
        <w:trPr/>
        <w:tc>
          <w:tcPr>
            <w:tcW w:w="201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Estimated </w:t>
              <w:br/>
              <w:t>useful lives</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86" w:name="xdx_904_eus-gaap--PropertyPlantAndEquipm"/>
            <w:bookmarkEnd w:id="386"/>
            <w:r>
              <w:rPr>
                <w:rFonts w:ascii="Times New Roman;Times;Serif" w:hAnsi="Times New Roman;Times;Serif"/>
                <w:b w:val="false"/>
                <w:i w:val="false"/>
                <w:caps w:val="false"/>
                <w:smallCaps w:val="false"/>
                <w:sz w:val="20"/>
              </w:rPr>
              <w:t>3-</w:t>
            </w:r>
            <w:bookmarkStart w:id="387" w:name="xdx_90C_eus-gaap--PropertyPlantAndEquipm"/>
            <w:bookmarkEnd w:id="387"/>
            <w:r>
              <w:rPr>
                <w:rFonts w:ascii="Times New Roman;Times;Serif" w:hAnsi="Times New Roman;Times;Serif"/>
                <w:b w:val="false"/>
                <w:i w:val="false"/>
                <w:caps w:val="false"/>
                <w:smallCaps w:val="false"/>
                <w:sz w:val="20"/>
              </w:rPr>
              <w:t>5 years</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88" w:name="xdx_904_eus-gaap--PropertyPlantAndEquipm"/>
            <w:bookmarkEnd w:id="388"/>
            <w:r>
              <w:rPr>
                <w:rFonts w:ascii="Times New Roman;Times;Serif" w:hAnsi="Times New Roman;Times;Serif"/>
                <w:b w:val="false"/>
                <w:i w:val="false"/>
                <w:caps w:val="false"/>
                <w:smallCaps w:val="false"/>
                <w:sz w:val="20"/>
              </w:rPr>
              <w:t>4 years</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 and 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89" w:name="xdx_908_eus-gaap--PropertyPlantAndEquipm"/>
            <w:bookmarkEnd w:id="389"/>
            <w:r>
              <w:rPr>
                <w:rFonts w:ascii="Times New Roman;Times;Serif" w:hAnsi="Times New Roman;Times;Serif"/>
                <w:b w:val="false"/>
                <w:i w:val="false"/>
                <w:caps w:val="false"/>
                <w:smallCaps w:val="false"/>
                <w:sz w:val="20"/>
              </w:rPr>
              <w:t>5-</w:t>
            </w:r>
            <w:bookmarkStart w:id="390" w:name="xdx_902_eus-gaap--PropertyPlantAndEquipm"/>
            <w:bookmarkEnd w:id="390"/>
            <w:r>
              <w:rPr>
                <w:rFonts w:ascii="Times New Roman;Times;Serif" w:hAnsi="Times New Roman;Times;Serif"/>
                <w:b w:val="false"/>
                <w:i w:val="false"/>
                <w:caps w:val="false"/>
                <w:smallCaps w:val="false"/>
                <w:sz w:val="20"/>
              </w:rPr>
              <w:t>10 years</w:t>
            </w:r>
          </w:p>
        </w:tc>
      </w:tr>
    </w:tbl>
    <w:p>
      <w:pPr>
        <w:pStyle w:val="TextBody"/>
        <w:bidi w:val="0"/>
        <w:spacing w:before="0" w:after="0"/>
        <w:ind w:left="0" w:right="0" w:hanging="0"/>
        <w:jc w:val="both"/>
        <w:rPr>
          <w:caps w:val="false"/>
          <w:smallCaps w:val="false"/>
        </w:rPr>
      </w:pPr>
      <w:bookmarkStart w:id="391" w:name="xdx_8AE_zu0PMHfKVLbi"/>
      <w:bookmarkEnd w:id="39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2" w:name="xdx_863_zDIM6WJaDap9"/>
      <w:bookmarkStart w:id="393" w:name="xdx_848_eus-gaap--GoodwillAndIntangibleA"/>
      <w:bookmarkEnd w:id="392"/>
      <w:bookmarkEnd w:id="393"/>
      <w:r>
        <w:rPr>
          <w:rFonts w:ascii="Times New Roman;Times;Serif" w:hAnsi="Times New Roman;Times;Serif"/>
          <w:b/>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consist primarily of accounting software that is carried at acquisition cost less accumulated amortization and impairment, if any. It is tested for impairment if triggering events occurred that could affect their carrying value. There were no asset impairment charges incurred during the six months ended March 31, 2026 and 2025. Amortization of intangible assets with finite lives is computed using the straight-line method over the estimated useful lives as below:</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4" w:name="xdx_8B5_zjWwMaDdJ0t1"/>
      <w:bookmarkStart w:id="395" w:name="xdx_897_eus-gaap--FiniteLivedIntangibleA"/>
      <w:bookmarkEnd w:id="394"/>
      <w:bookmarkEnd w:id="395"/>
      <w:r>
        <w:rPr>
          <w:rFonts w:ascii="Times New Roman;Times;Serif" w:hAnsi="Times New Roman;Times;Serif"/>
          <w:b w:val="false"/>
          <w:i w:val="false"/>
          <w:caps w:val="false"/>
          <w:smallCaps w:val="false"/>
          <w:sz w:val="20"/>
        </w:rPr>
        <w:t>SCHEDULE OF AMORTIZATION OF INTANGIBLE ASSETS </w:t>
      </w:r>
    </w:p>
    <w:tbl>
      <w:tblPr>
        <w:tblW w:w="1855" w:type="dxa"/>
        <w:jc w:val="left"/>
        <w:tblInd w:w="0" w:type="dxa"/>
        <w:tblLayout w:type="fixed"/>
        <w:tblCellMar>
          <w:top w:w="0" w:type="dxa"/>
          <w:left w:w="0" w:type="dxa"/>
          <w:bottom w:w="28" w:type="dxa"/>
          <w:right w:w="0" w:type="dxa"/>
        </w:tblCellMar>
      </w:tblPr>
      <w:tblGrid>
        <w:gridCol w:w="830"/>
        <w:gridCol w:w="60"/>
        <w:gridCol w:w="965"/>
      </w:tblGrid>
      <w:tr>
        <w:trPr/>
        <w:tc>
          <w:tcPr>
            <w:tcW w:w="8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Category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br/>
              <w:t>useful lives</w:t>
            </w:r>
          </w:p>
        </w:tc>
      </w:tr>
      <w:tr>
        <w:trPr/>
        <w:tc>
          <w:tcPr>
            <w:tcW w:w="8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96" w:name="xdx_903_eus-gaap--PropertyPlantAndEquipm"/>
            <w:bookmarkEnd w:id="396"/>
            <w:r>
              <w:rPr>
                <w:rFonts w:ascii="Times New Roman;Times;Serif" w:hAnsi="Times New Roman;Times;Serif"/>
                <w:b w:val="false"/>
                <w:i w:val="false"/>
                <w:caps w:val="false"/>
                <w:smallCaps w:val="false"/>
                <w:sz w:val="20"/>
              </w:rPr>
              <w:t>10 years</w:t>
            </w:r>
          </w:p>
        </w:tc>
      </w:tr>
    </w:tbl>
    <w:p>
      <w:pPr>
        <w:pStyle w:val="TextBody"/>
        <w:bidi w:val="0"/>
        <w:spacing w:before="0" w:after="0"/>
        <w:ind w:left="0" w:right="0" w:hanging="0"/>
        <w:jc w:val="both"/>
        <w:rPr>
          <w:caps w:val="false"/>
          <w:smallCaps w:val="false"/>
        </w:rPr>
      </w:pPr>
      <w:bookmarkStart w:id="397" w:name="xdx_8AD_z3zMcQOjB2F2"/>
      <w:bookmarkEnd w:id="39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98" w:name="xdx_868_z0jyPxFMsMQc"/>
      <w:bookmarkStart w:id="399" w:name="xdx_84C_eus-gaap--FairValueOfFinancialIn"/>
      <w:bookmarkEnd w:id="398"/>
      <w:bookmarkEnd w:id="399"/>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820, “Fair Value Measurement,”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that are unobservable.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disclosed, the fair value of the Company’s financial instruments including cash, short-term investments, accounts receivable, notes receivable, advance to suppliers, inventories, due from related parties, prepaid expenses and other current assets, short-term loans, accounts payable, advance from customers, taxes payable, due to related parties, and other payables and other current liabilities approximate their recorded values due to their short-term maturities. The fair value of longer-term leases approximates their recorded values as their stated interest rates approximate the rates currently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such as property and equipment would be measured at fair value only if they were determined to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its short-term investments at fair value. As of March 31, 2026 and September 30, 2025, the Company held investments in common stocks that were publicly traded on the Hong Kong Stock Exchange and bank wealth management products. The common stocks investments were classified as trading securities measured using Level 1 inputs. Among the wealth management products, those redeemable on demand were classified as trading securities measured using Level 2 inputs, and those with a fixed maturity were classified as a held-to-maturity security measured using Level 2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information about short-term investments that are measured at fair value as of March 31, 2026 and September 30, 2025 and indicates the fair value hierarchy of the valuation techniques we utilized to determine such fair value. The valuation techniques are based on the fair value measurement on a recurring basis of trading securities and held-to-maturity securities.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0" w:name="xdx_8BE_zUTC7IacAg4g"/>
      <w:bookmarkStart w:id="401" w:name="xdx_89E_eus-gaap--FairValueAssetsMeasure"/>
      <w:bookmarkEnd w:id="400"/>
      <w:bookmarkEnd w:id="401"/>
      <w:r>
        <w:rPr>
          <w:rFonts w:ascii="Times New Roman;Times;Serif" w:hAnsi="Times New Roman;Times;Serif"/>
          <w:b w:val="false"/>
          <w:i w:val="false"/>
          <w:caps w:val="false"/>
          <w:smallCaps w:val="false"/>
          <w:sz w:val="20"/>
        </w:rPr>
        <w:t>SCHEDULE OF FAIR VALUE MEASUREMENT ON RECURRING BASIS</w:t>
      </w:r>
    </w:p>
    <w:tbl>
      <w:tblPr>
        <w:tblW w:w="8065" w:type="dxa"/>
        <w:jc w:val="left"/>
        <w:tblInd w:w="0" w:type="dxa"/>
        <w:tblLayout w:type="fixed"/>
        <w:tblCellMar>
          <w:top w:w="0" w:type="dxa"/>
          <w:left w:w="0" w:type="dxa"/>
          <w:bottom w:w="0" w:type="dxa"/>
          <w:right w:w="0" w:type="dxa"/>
        </w:tblCellMar>
      </w:tblPr>
      <w:tblGrid>
        <w:gridCol w:w="2540"/>
        <w:gridCol w:w="60"/>
        <w:gridCol w:w="140"/>
        <w:gridCol w:w="1100"/>
        <w:gridCol w:w="60"/>
        <w:gridCol w:w="60"/>
        <w:gridCol w:w="140"/>
        <w:gridCol w:w="980"/>
        <w:gridCol w:w="60"/>
        <w:gridCol w:w="60"/>
        <w:gridCol w:w="140"/>
        <w:gridCol w:w="1100"/>
        <w:gridCol w:w="60"/>
        <w:gridCol w:w="60"/>
        <w:gridCol w:w="851"/>
        <w:gridCol w:w="579"/>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2" w:name="xdx_494_20260331_z0rfSh4ZoAS8"/>
            <w:bookmarkEnd w:id="402"/>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3" w:name="xdx_494_20260331__us-gaap--FairValueByFa"/>
            <w:bookmarkEnd w:id="403"/>
          </w:p>
        </w:tc>
        <w:tc>
          <w:tcPr>
            <w:tcW w:w="1120" w:type="dxa"/>
            <w:gridSpan w:val="2"/>
            <w:tcBorders/>
            <w:vAlign w:val="center"/>
          </w:tcPr>
          <w:p>
            <w:pPr>
              <w:pStyle w:val="TableContents"/>
              <w:bidi w:val="0"/>
              <w:spacing w:before="0" w:after="283"/>
              <w:jc w:val="center"/>
              <w:rPr>
                <w:b/>
              </w:rPr>
            </w:pPr>
            <w:r>
              <w:rPr>
                <w:b/>
              </w:rPr>
              <w:t>Quoted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4" w:name="xdx_493_20260331__us-gaap--FairValueByFa"/>
            <w:bookmarkEnd w:id="404"/>
          </w:p>
        </w:tc>
        <w:tc>
          <w:tcPr>
            <w:tcW w:w="1240"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5" w:name="xdx_496_20260331__us-gaap--FairValueByFa"/>
            <w:bookmarkEnd w:id="405"/>
          </w:p>
        </w:tc>
        <w:tc>
          <w:tcPr>
            <w:tcW w:w="1430" w:type="dxa"/>
            <w:gridSpan w:val="2"/>
            <w:tcBorders/>
            <w:vAlign w:val="center"/>
          </w:tcPr>
          <w:p>
            <w:pPr>
              <w:pStyle w:val="TableContents"/>
              <w:bidi w:val="0"/>
              <w:spacing w:before="0" w:after="283"/>
              <w:jc w:val="center"/>
              <w:rPr>
                <w:b/>
              </w:rPr>
            </w:pPr>
            <w:r>
              <w:rPr>
                <w:b/>
              </w:rPr>
              <w:t>Significant</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Prices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Other</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Active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Unobservable</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Markets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Inputs</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left"/>
              <w:rPr/>
            </w:pPr>
            <w:r>
              <w:rPr/>
              <w:t> </w:t>
            </w:r>
          </w:p>
        </w:tc>
        <w:tc>
          <w:tcPr>
            <w:tcW w:w="57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06" w:name="xdx_407_eus-gaap--MarketableSecurities_i"/>
            <w:bookmarkEnd w:id="406"/>
          </w:p>
        </w:tc>
      </w:tr>
      <w:tr>
        <w:trPr/>
        <w:tc>
          <w:tcPr>
            <w:tcW w:w="2540" w:type="dxa"/>
            <w:tcBorders/>
            <w:shd w:fill="CCEEFF" w:val="clear"/>
            <w:vAlign w:val="center"/>
          </w:tcPr>
          <w:p>
            <w:pPr>
              <w:pStyle w:val="TableContents"/>
              <w:bidi w:val="0"/>
              <w:spacing w:before="0" w:after="283"/>
              <w:jc w:val="left"/>
              <w:rPr/>
            </w:pPr>
            <w:r>
              <w:rPr/>
              <w:t>Trading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13,064,956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1,978,219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11,086,737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w:t>
            </w:r>
          </w:p>
        </w:tc>
        <w:tc>
          <w:tcPr>
            <w:tcW w:w="5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07" w:name="xdx_402_eus-gaap--HeldToMaturitySecuriti"/>
            <w:bookmarkEnd w:id="407"/>
          </w:p>
        </w:tc>
      </w:tr>
      <w:tr>
        <w:trPr/>
        <w:tc>
          <w:tcPr>
            <w:tcW w:w="2540" w:type="dxa"/>
            <w:tcBorders/>
            <w:shd w:fill="FFFFFF" w:val="clear"/>
            <w:vAlign w:val="center"/>
          </w:tcPr>
          <w:p>
            <w:pPr>
              <w:pStyle w:val="TableContents"/>
              <w:bidi w:val="0"/>
              <w:spacing w:before="0" w:after="283"/>
              <w:jc w:val="left"/>
              <w:rPr/>
            </w:pPr>
            <w:r>
              <w:rPr/>
              <w:t>Held-to-maturity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3,833,259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3,833,259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08" w:name="xdx_403_eus-gaap--DebtInstrumentFairValu"/>
            <w:bookmarkEnd w:id="408"/>
          </w:p>
        </w:tc>
      </w:tr>
      <w:tr>
        <w:trPr/>
        <w:tc>
          <w:tcPr>
            <w:tcW w:w="25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16,898,215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1,978,219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14,919,996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239" w:type="dxa"/>
        <w:jc w:val="left"/>
        <w:tblInd w:w="0" w:type="dxa"/>
        <w:tblLayout w:type="fixed"/>
        <w:tblCellMar>
          <w:top w:w="0" w:type="dxa"/>
          <w:left w:w="0" w:type="dxa"/>
          <w:bottom w:w="0" w:type="dxa"/>
          <w:right w:w="0" w:type="dxa"/>
        </w:tblCellMar>
      </w:tblPr>
      <w:tblGrid>
        <w:gridCol w:w="2540"/>
        <w:gridCol w:w="60"/>
        <w:gridCol w:w="159"/>
        <w:gridCol w:w="1255"/>
        <w:gridCol w:w="60"/>
        <w:gridCol w:w="60"/>
        <w:gridCol w:w="140"/>
        <w:gridCol w:w="980"/>
        <w:gridCol w:w="60"/>
        <w:gridCol w:w="60"/>
        <w:gridCol w:w="140"/>
        <w:gridCol w:w="1100"/>
        <w:gridCol w:w="60"/>
        <w:gridCol w:w="60"/>
        <w:gridCol w:w="851"/>
        <w:gridCol w:w="579"/>
        <w:gridCol w:w="75"/>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9" w:name="xdx_491_20250930_z2UO1aejKbMi"/>
            <w:bookmarkEnd w:id="409"/>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0" w:name="xdx_498_20250930__us-gaap--FairValueByFa"/>
            <w:bookmarkEnd w:id="410"/>
          </w:p>
        </w:tc>
        <w:tc>
          <w:tcPr>
            <w:tcW w:w="1120" w:type="dxa"/>
            <w:gridSpan w:val="2"/>
            <w:tcBorders/>
            <w:vAlign w:val="center"/>
          </w:tcPr>
          <w:p>
            <w:pPr>
              <w:pStyle w:val="TableContents"/>
              <w:bidi w:val="0"/>
              <w:spacing w:before="0" w:after="283"/>
              <w:jc w:val="center"/>
              <w:rPr>
                <w:b/>
              </w:rPr>
            </w:pPr>
            <w:r>
              <w:rPr>
                <w:b/>
              </w:rPr>
              <w:t>Quoted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1" w:name="xdx_49D_20250930__us-gaap--FairValueByFa"/>
            <w:bookmarkEnd w:id="411"/>
          </w:p>
        </w:tc>
        <w:tc>
          <w:tcPr>
            <w:tcW w:w="1240" w:type="dxa"/>
            <w:gridSpan w:val="2"/>
            <w:tcBorders/>
            <w:vAlign w:val="center"/>
          </w:tcPr>
          <w:p>
            <w:pPr>
              <w:pStyle w:val="TableContents"/>
              <w:bidi w:val="0"/>
              <w:spacing w:before="0" w:after="283"/>
              <w:jc w:val="center"/>
              <w:rPr>
                <w:b/>
              </w:rPr>
            </w:pPr>
            <w:r>
              <w:rPr>
                <w:b/>
              </w:rPr>
              <w:t>Significant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2" w:name="xdx_495_20250930__us-gaap--FairValueByFa"/>
            <w:bookmarkEnd w:id="412"/>
          </w:p>
        </w:tc>
        <w:tc>
          <w:tcPr>
            <w:tcW w:w="1430" w:type="dxa"/>
            <w:gridSpan w:val="2"/>
            <w:tcBorders/>
            <w:vAlign w:val="center"/>
          </w:tcPr>
          <w:p>
            <w:pPr>
              <w:pStyle w:val="TableContents"/>
              <w:bidi w:val="0"/>
              <w:spacing w:before="0" w:after="283"/>
              <w:jc w:val="center"/>
              <w:rPr>
                <w:b/>
              </w:rPr>
            </w:pPr>
            <w:r>
              <w:rPr>
                <w:b/>
              </w:rPr>
              <w:t>Significant</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Prices 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Other</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Active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Observable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Unobservable</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September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Markets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Inputs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Inputs</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bookmarkStart w:id="413" w:name="xdx_407_eus-gaap--MarketableSecurities_i"/>
            <w:bookmarkEnd w:id="413"/>
          </w:p>
        </w:tc>
      </w:tr>
      <w:tr>
        <w:trPr/>
        <w:tc>
          <w:tcPr>
            <w:tcW w:w="2540" w:type="dxa"/>
            <w:tcBorders/>
            <w:shd w:fill="CCEEFF" w:val="clear"/>
            <w:vAlign w:val="center"/>
          </w:tcPr>
          <w:p>
            <w:pPr>
              <w:pStyle w:val="TableContents"/>
              <w:bidi w:val="0"/>
              <w:spacing w:before="0" w:after="283"/>
              <w:jc w:val="left"/>
              <w:rPr/>
            </w:pPr>
            <w:r>
              <w:rPr/>
              <w:t>Trading securities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1255" w:type="dxa"/>
            <w:tcBorders/>
            <w:shd w:fill="CCEEFF" w:val="clear"/>
            <w:vAlign w:val="center"/>
          </w:tcPr>
          <w:p>
            <w:pPr>
              <w:pStyle w:val="TableContents"/>
              <w:bidi w:val="0"/>
              <w:spacing w:before="0" w:after="283"/>
              <w:jc w:val="right"/>
              <w:rPr/>
            </w:pPr>
            <w:r>
              <w:rPr/>
              <w:t>14,446,867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3,098,972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11,347,895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1" w:type="dxa"/>
            <w:tcBorders/>
            <w:shd w:fill="CCEEFF" w:val="clear"/>
            <w:vAlign w:val="center"/>
          </w:tcPr>
          <w:p>
            <w:pPr>
              <w:pStyle w:val="TableContents"/>
              <w:bidi w:val="0"/>
              <w:spacing w:before="0" w:after="283"/>
              <w:jc w:val="left"/>
              <w:rPr/>
            </w:pPr>
            <w:r>
              <w:rPr/>
              <w:t>$</w:t>
            </w:r>
          </w:p>
        </w:tc>
        <w:tc>
          <w:tcPr>
            <w:tcW w:w="579"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14" w:name="xdx_402_eus-gaap--HeldToMaturitySecuriti"/>
            <w:bookmarkEnd w:id="414"/>
          </w:p>
        </w:tc>
      </w:tr>
      <w:tr>
        <w:trPr/>
        <w:tc>
          <w:tcPr>
            <w:tcW w:w="2540" w:type="dxa"/>
            <w:tcBorders/>
            <w:shd w:fill="FFFFFF" w:val="clear"/>
            <w:vAlign w:val="center"/>
          </w:tcPr>
          <w:p>
            <w:pPr>
              <w:pStyle w:val="TableContents"/>
              <w:bidi w:val="0"/>
              <w:spacing w:before="0" w:after="283"/>
              <w:jc w:val="left"/>
              <w:rPr/>
            </w:pPr>
            <w:r>
              <w:rPr/>
              <w:t>Held-to-maturity securities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4,233,204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4,233,204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15" w:name="xdx_403_eus-gaap--DebtInstrumentFairValu"/>
            <w:bookmarkEnd w:id="415"/>
          </w:p>
        </w:tc>
      </w:tr>
      <w:tr>
        <w:trPr/>
        <w:tc>
          <w:tcPr>
            <w:tcW w:w="254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pPr>
            <w:r>
              <w:rPr/>
              <w:t>18,680,071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3,098,972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15,581,099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6" w:name="xdx_8A8_zUr6XTKmQEKh"/>
      <w:bookmarkEnd w:id="41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7" w:name="xdx_863_zb8WocNctuY4"/>
      <w:bookmarkStart w:id="418" w:name="xdx_84A_ecustom--LongTermInvestmentsPoli"/>
      <w:bookmarkEnd w:id="417"/>
      <w:bookmarkEnd w:id="418"/>
      <w:r>
        <w:rPr>
          <w:rFonts w:ascii="Times New Roman;Times;Serif" w:hAnsi="Times New Roman;Times;Serif"/>
          <w:b/>
          <w:i/>
          <w:caps w:val="false"/>
          <w:smallCaps w:val="false"/>
          <w:sz w:val="20"/>
        </w:rPr>
        <w:t>Long-term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long-term equity investment using the equity method or the measurement alternative, as applicable. Equity method investments are the Company’s investment in privately-held companies, over which it has significant influence but does not own a majority equity interest or otherwise control. The Company applies the equity method to account for an equity investment, in common stock or in-substance common stock, according to ASC 323 “Investment — Equity Method and 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in-substance common stock is an investment in an entity that has risk and reward characteristics that are substantially similar to that entity’s common stock. The Company considers subordination, risks and rewards of ownership and obligation to transfer value when determining whether an investment in an entity is substantially similar to an investment in that entity’s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equity method, the Company’s share of the post-acquisition profits or losses of the equity investee is recognized in the consolidated income statements and its share of post-acquisition movements in accumulated other comprehensive income is recognized in shareholders’ equity. When the Company’s share of losses in the equity investee equals or exceeds its interest in the equity investee, the Company does not recognize further losses, unless the Company has incurred obligations or made payments or guarantees on behalf of the equity investee.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reviews its investment in equity investees under equity method to determine whether a decline in FV to below the carrying value is other-than-temporary. The primary factors the Company considers in its determination are the duration and severity of the decline in FV, the financial condition, operating performance and the prospects of the equity investee, and other company specific information such as recent financing rounds. If the decline in FV is deemed to be other-than-temporary, the carrying value of the equity investee is written down to FV.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measurement alternative, investment is initially measured at cost, less any impairment, and is adjusted for observable price changes from orderly transactions for identical or similar investments of the same issuer. The Company assesses the need for impairment at each reporting period by considering factors such as the investee’s financial condition, operating performance, and business outlook. Any impairment, if identified, is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w:t>
      </w:r>
      <w:bookmarkStart w:id="419" w:name="xdx_90D_eus-gaap--OtherAssetImpairmentCh"/>
      <w:bookmarkStart w:id="420" w:name="xdx_90D_eus-gaap--OtherAssetImpairmentCh"/>
      <w:bookmarkEnd w:id="419"/>
      <w:bookmarkEnd w:id="420"/>
      <w:r>
        <w:rPr>
          <w:rFonts w:ascii="Times New Roman;Times;Serif" w:hAnsi="Times New Roman;Times;Serif"/>
          <w:b w:val="false"/>
          <w:i w:val="false"/>
          <w:caps w:val="false"/>
          <w:smallCaps w:val="false"/>
          <w:sz w:val="20"/>
        </w:rPr>
        <w:t>no impairment during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1" w:name="xdx_86F_ztx16rcCTRn3"/>
      <w:bookmarkStart w:id="422" w:name="xdx_84A_eus-gaap--LesseeLeasesPolicyText"/>
      <w:bookmarkEnd w:id="421"/>
      <w:bookmarkEnd w:id="422"/>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842 requires lessees to recognize a right-of-use (“ROU”) asset and corresponding lease liability on the Consolidated Balance Sheets for all leases. The Company determines if an arrangement is a lease at inception of the arrangement and if such lease will be classified as an operating lease or a finance lease. As of March 31, 2026 and September 30, 2025, all of the Company’s leases are accounted for as operating leases.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are the Company’s right to use an underlying asset for the lease term and lease liabilities are the Company’s obligation to make lease payments arising from the leases. ROU assets and lease liabilities are recognized at the lease commencement date based on the present value of lease payments over the lease term. Most leases do not provide an implicit interest rate; therefore, the Company used its incremental borrowing rate based on the information available at the inception date to determine the present value of the lease payments. Lease terms include options to extend the lease when it is reasonably certain that the Company will exercise that option. Lease cost for lease payments is recognized on a straight-line basis over the lease term. All ROU assets are reviewed for impairment annually. There was no impairment of the Company’s ROU assets during the six months period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3" w:name="xdx_866_zj2P4ZzdDGp4"/>
      <w:bookmarkStart w:id="424" w:name="xdx_843_ecustom--RestrictedNetAssetsPoli"/>
      <w:bookmarkEnd w:id="423"/>
      <w:bookmarkEnd w:id="424"/>
      <w:r>
        <w:rPr>
          <w:rFonts w:ascii="Times New Roman;Times;Serif" w:hAnsi="Times New Roman;Times;Serif"/>
          <w:b/>
          <w:i/>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and other regulations in the PRC may further restrict the Company’s subsidiaries from transferring funds to the Company in the form of dividends, loans and advances. Amounts restricted include paid-in capital and statutory reserves of the Company’s PRC subsidiaries as determined pursuant to PRC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6B_zkEwaT0WYQc5"/>
      <w:bookmarkStart w:id="426" w:name="xdx_84F_eus-gaap--RevenueFromContractWit"/>
      <w:bookmarkEnd w:id="425"/>
      <w:bookmarkEnd w:id="426"/>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FASB ASC 606, Revenue from Contracts with Customers, the Company recognizes revenue for the transfer of products or services to customers in an amount that reflects the consideration to which the Company expects to be entitled in such exchange. This requires the Company identify contractual performance obligations and determine whether revenue should be recognized at a point in time or over time, based on when control of the product or the benefit of the services transfers to the customer. Under the guidance of ASC 606, the Company is required to (a) identify the contract with a customer, (b) identify the performance obligations in the contract, (c) determine the transaction price, (d) allocate the transaction price to the performance obligations in the contract and (e) recognize revenue when (or as) the Company satisfies its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606-10-55-89 through 55-91, the Company selected the type of good or service for presentation of disaggregated revenue. The Company’s presentation of its disaggregated revenues is aligned with information that can be reviewed by the Company’s chief operating decision maker for evaluating the financial performance of operating segments. The Company derives its revenues mainly from: sales of clean-energy equipment, sales of digitalization and integration equipment, sales of new energy and delivery of oil and gas engineering technical services. Revenues are the amount of consideration the Company is entitled to in exchange for the transfer of promised goods or services in the ordinary course of the Company’s activities and is recorded net of value-added tax (“VAT”). Consistent with the criteria of ASC 606, the Company recognizes revenue when the performance obligation in a contract is satisfied by transferring the control of promised goods or services to the customer. The Company also evaluates whether it is appropriate to record the gross amount of goods and services sold and the related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7" w:name="xdx_895_eus-gaap--RevenueRecognitionMult"/>
      <w:bookmarkEnd w:id="427"/>
      <w:r>
        <w:rPr>
          <w:rFonts w:ascii="Times New Roman;Times;Serif" w:hAnsi="Times New Roman;Times;Serif"/>
          <w:b w:val="false"/>
          <w:i w:val="false"/>
          <w:caps w:val="false"/>
          <w:smallCaps w:val="false"/>
          <w:sz w:val="20"/>
        </w:rPr>
        <w:t>The following table sets forth the breakdown of the Company’s revenues for the six months ended March 31,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8" w:name="xdx_8B2_zdhnrhjtfQv5"/>
      <w:bookmarkEnd w:id="428"/>
      <w:r>
        <w:rPr>
          <w:rFonts w:ascii="Times New Roman;Times;Serif" w:hAnsi="Times New Roman;Times;Serif"/>
          <w:b w:val="false"/>
          <w:i w:val="false"/>
          <w:caps w:val="false"/>
          <w:smallCaps w:val="false"/>
          <w:sz w:val="20"/>
        </w:rPr>
        <w:t>SCHEDULE OF BREAKDOWN OF REVENUES </w:t>
      </w:r>
    </w:p>
    <w:tbl>
      <w:tblPr>
        <w:tblW w:w="9308" w:type="dxa"/>
        <w:jc w:val="left"/>
        <w:tblInd w:w="0" w:type="dxa"/>
        <w:tblLayout w:type="fixed"/>
        <w:tblCellMar>
          <w:top w:w="0" w:type="dxa"/>
          <w:left w:w="0" w:type="dxa"/>
          <w:bottom w:w="0" w:type="dxa"/>
          <w:right w:w="0" w:type="dxa"/>
        </w:tblCellMar>
      </w:tblPr>
      <w:tblGrid>
        <w:gridCol w:w="5075"/>
        <w:gridCol w:w="60"/>
        <w:gridCol w:w="141"/>
        <w:gridCol w:w="1108"/>
        <w:gridCol w:w="60"/>
        <w:gridCol w:w="60"/>
        <w:gridCol w:w="60"/>
        <w:gridCol w:w="560"/>
        <w:gridCol w:w="60"/>
        <w:gridCol w:w="60"/>
        <w:gridCol w:w="141"/>
        <w:gridCol w:w="1108"/>
        <w:gridCol w:w="60"/>
        <w:gridCol w:w="60"/>
        <w:gridCol w:w="60"/>
        <w:gridCol w:w="560"/>
        <w:gridCol w:w="75"/>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Sales of clean-energy equipment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429" w:name="xdx_984_eus-gaap--RevenueFromContractWit"/>
            <w:bookmarkEnd w:id="429"/>
          </w:p>
        </w:tc>
        <w:tc>
          <w:tcPr>
            <w:tcW w:w="1108" w:type="dxa"/>
            <w:tcBorders/>
            <w:shd w:fill="CCEEFF" w:val="clear"/>
            <w:vAlign w:val="center"/>
          </w:tcPr>
          <w:p>
            <w:pPr>
              <w:pStyle w:val="TableContents"/>
              <w:bidi w:val="0"/>
              <w:spacing w:before="0" w:after="283"/>
              <w:jc w:val="right"/>
              <w:rPr/>
            </w:pPr>
            <w:r>
              <w:rPr/>
              <w:t>10,412,332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430" w:name="xdx_903_ecustom--RevenueBreakdownPercent"/>
            <w:bookmarkEnd w:id="430"/>
            <w:r>
              <w:rPr/>
              <w:t>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431" w:name="xdx_983_eus-gaap--RevenueFromContractWit"/>
            <w:bookmarkEnd w:id="431"/>
          </w:p>
        </w:tc>
        <w:tc>
          <w:tcPr>
            <w:tcW w:w="1108" w:type="dxa"/>
            <w:tcBorders/>
            <w:shd w:fill="CCEEFF" w:val="clear"/>
            <w:vAlign w:val="center"/>
          </w:tcPr>
          <w:p>
            <w:pPr>
              <w:pStyle w:val="TableContents"/>
              <w:bidi w:val="0"/>
              <w:spacing w:before="0" w:after="283"/>
              <w:jc w:val="right"/>
              <w:rPr/>
            </w:pPr>
            <w:r>
              <w:rPr/>
              <w:t>13,196,043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432" w:name="xdx_905_ecustom--RevenueBreakdownPercent"/>
            <w:bookmarkEnd w:id="432"/>
            <w:r>
              <w:rPr/>
              <w:t>46.8</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Sales of digitalization and integration equipment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33" w:name="xdx_98C_eus-gaap--RevenueFromContractWit"/>
            <w:bookmarkEnd w:id="433"/>
          </w:p>
        </w:tc>
        <w:tc>
          <w:tcPr>
            <w:tcW w:w="1108" w:type="dxa"/>
            <w:tcBorders/>
            <w:shd w:fill="FFFFFF" w:val="clear"/>
            <w:vAlign w:val="center"/>
          </w:tcPr>
          <w:p>
            <w:pPr>
              <w:pStyle w:val="TableContents"/>
              <w:bidi w:val="0"/>
              <w:spacing w:before="0" w:after="283"/>
              <w:jc w:val="right"/>
              <w:rPr/>
            </w:pPr>
            <w:r>
              <w:rPr/>
              <w:t>2,226,141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434" w:name="xdx_900_ecustom--RevenueBreakdownPercent"/>
            <w:bookmarkEnd w:id="434"/>
            <w:r>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435" w:name="xdx_983_eus-gaap--RevenueFromContractWit"/>
            <w:bookmarkEnd w:id="435"/>
          </w:p>
        </w:tc>
        <w:tc>
          <w:tcPr>
            <w:tcW w:w="1108" w:type="dxa"/>
            <w:tcBorders/>
            <w:shd w:fill="FFFFFF" w:val="clear"/>
            <w:vAlign w:val="center"/>
          </w:tcPr>
          <w:p>
            <w:pPr>
              <w:pStyle w:val="TableContents"/>
              <w:bidi w:val="0"/>
              <w:spacing w:before="0" w:after="283"/>
              <w:jc w:val="right"/>
              <w:rPr/>
            </w:pPr>
            <w:r>
              <w:rPr/>
              <w:t>2,629,399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bookmarkStart w:id="436" w:name="xdx_909_ecustom--RevenueBreakdownPercent"/>
            <w:bookmarkEnd w:id="436"/>
            <w:r>
              <w:rPr/>
              <w:t>9.3</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Sales of new energy</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37" w:name="xdx_982_eus-gaap--RevenueFromContractWit"/>
            <w:bookmarkEnd w:id="437"/>
          </w:p>
        </w:tc>
        <w:tc>
          <w:tcPr>
            <w:tcW w:w="1108" w:type="dxa"/>
            <w:tcBorders/>
            <w:shd w:fill="CCEEFF" w:val="clear"/>
            <w:vAlign w:val="center"/>
          </w:tcPr>
          <w:p>
            <w:pPr>
              <w:pStyle w:val="TableContents"/>
              <w:bidi w:val="0"/>
              <w:spacing w:before="0" w:after="283"/>
              <w:jc w:val="right"/>
              <w:rPr/>
            </w:pPr>
            <w:r>
              <w:rPr/>
              <w:t>6,454,584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438" w:name="xdx_90F_ecustom--RevenueBreakdownPercent"/>
            <w:bookmarkEnd w:id="438"/>
            <w:r>
              <w:rPr/>
              <w:t>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bookmarkStart w:id="439" w:name="xdx_980_eus-gaap--RevenueFromContractWit"/>
            <w:bookmarkEnd w:id="439"/>
          </w:p>
        </w:tc>
        <w:tc>
          <w:tcPr>
            <w:tcW w:w="1108" w:type="dxa"/>
            <w:tcBorders/>
            <w:shd w:fill="CCEEFF" w:val="clear"/>
            <w:vAlign w:val="center"/>
          </w:tcPr>
          <w:p>
            <w:pPr>
              <w:pStyle w:val="TableContents"/>
              <w:bidi w:val="0"/>
              <w:spacing w:before="0" w:after="283"/>
              <w:jc w:val="right"/>
              <w:rPr/>
            </w:pPr>
            <w:r>
              <w:rPr/>
              <w:t>10,337,148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440" w:name="xdx_90D_ecustom--RevenueBreakdownPercent"/>
            <w:bookmarkEnd w:id="440"/>
            <w:r>
              <w:rPr/>
              <w:t>36.7</w:t>
            </w:r>
          </w:p>
        </w:tc>
        <w:tc>
          <w:tcPr>
            <w:tcW w:w="75" w:type="dxa"/>
            <w:tcBorders/>
            <w:shd w:fill="CCEEFF"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Delivery of oil and gas engineering technical services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1" w:name="xdx_983_eus-gaap--RevenueFromContractWit"/>
            <w:bookmarkEnd w:id="441"/>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1,885,371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42" w:name="xdx_90A_ecustom--RevenueBreakdownPercent"/>
            <w:bookmarkEnd w:id="442"/>
            <w:r>
              <w:rPr/>
              <w:t>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3" w:name="xdx_98E_eus-gaap--RevenueFromContractWit"/>
            <w:bookmarkEnd w:id="443"/>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2,032,694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44" w:name="xdx_902_ecustom--RevenueBreakdownPercent"/>
            <w:bookmarkEnd w:id="444"/>
            <w:r>
              <w:rPr/>
              <w:t>7.2</w:t>
            </w:r>
          </w:p>
        </w:tc>
        <w:tc>
          <w:tcPr>
            <w:tcW w:w="75" w:type="dxa"/>
            <w:tcBorders/>
            <w:shd w:fill="FFFFFF" w:val="clear"/>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5" w:name="xdx_983_eus-gaap--RevenueFromContractWit"/>
            <w:bookmarkEnd w:id="445"/>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20,978,428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46" w:name="xdx_90C_ecustom--RevenueBreakdownPercent"/>
            <w:bookmarkEnd w:id="446"/>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7" w:name="xdx_98B_eus-gaap--RevenueFromContractWit"/>
            <w:bookmarkEnd w:id="447"/>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28,195,284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48" w:name="xdx_90C_ecustom--RevenueBreakdownPercent"/>
            <w:bookmarkEnd w:id="448"/>
            <w:r>
              <w:rPr/>
              <w:t>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9" w:name="xdx_8A2_zaAWE4fiYR19"/>
      <w:bookmarkEnd w:id="44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clean-energy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signs contracts with customers and delivers clean-energy equipment according to the sales contract or sales list. The customer issues an acceptance document after checking the quantity and quality of equipment received. Revenue is recognized when the Company receives confirmation of equipment acceptance. Revenues are recorded net of value-added tax, discounts, and surcharges and allowance for returns. And in accordance with ASC 606, the Company evaluates whether it is appropriate to record the gross amount of goods sales and related costs or the net amount earned as commissions. The Company concludes it is the principal as the control of the specified equipment remains with the Company before it is transferred to the customers. Revenue is recognized as the gross amount of consideration to which the Company expects to be entitled in exchange for the specified equipment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digitalization and integration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signs contracts with customers and provides digitalization and integration equipment according to the sales contract or sales list. The customer issues an acceptance document after checking the quantity and quality of the equipment received and installed. Revenue is recognized when the Company receives confirmation of equipment acceptance. Revenues are recorded net of value-added tax, discounts, and surcharges and allowance for returns. In accordance with ASC 606, the Company evaluates whether it is appropriate to record the gross amount of goods sales and related costs or the net amount earned as commissions. The Company concludes it is the principal as the control of the specified equipment remains with the Company before it is transferred to the customers. Revenue is recognized as the gross amount of consideration to which the Company expects to be entitled in exchange for the specified equipment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of new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signs contracts with customers and sells new energy, such as liquefied natural gas (“LNG”) and compressed natural gas (“CNG”), purchased from third parties to the customers. The customer issues an acceptance document after acquiring the new energy. Revenue is recognized when the Company receives confirmation of natural gas acceptance. Revenues are recorded net of value-added tax, discounts, and surcharges and allowance for returns. In accordance with ASC 606, the Company evaluates whether it is appropriate to record the gross amount of new energy sales and related costs or the net amount earned as commissions. The Company concludes it is the principal as the control of the new energy remains with the Company before it is transferred to the customer. Revenue is recognized as the gross amount of consideration to which it expects to be entitled in exchange for the new energy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of oil and gas engineering technical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signs contracts with customers and delivers compressor booster service to them during their shale gas production process. An evaluation is performed to determine whether the Company is a principal or agent in these transactions. Under the terms of these compressor booster service contracts, the Company concludes it is the agent as title to the shale gas production remains with a third-party producer. Revenue is recognized on a net basis since the Company is providing a service. The Company concludes the services provided each month are substantially similar and result in the transfer of substantially similar services to the third-party each month. That is, the benefit consumed by the third-party is substantially similar for each month, even though the exact volume of services may vary. Therefore, the Company concludes the monthly compressor booster service revenue satisfies the requirements of ASC 606-10-25-14(b) to be accounted for as a single performance obligation. Accordingly, based on the output method, the Company recognizes revenues over time when it satisfies its performance obligations throughout the contract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0" w:name="xdx_861_z26GYMWbafh4"/>
      <w:bookmarkStart w:id="451" w:name="xdx_843_ecustom--CostOfRevenuesPolicyTex"/>
      <w:bookmarkEnd w:id="450"/>
      <w:bookmarkEnd w:id="451"/>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(“COR”) for sales of clean-energy equipment includes purchased cost of equipment and accessories from third parties, labor cost and handling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 for sales of digitalization and integration equipment includes labor costs, purchased cost of equipment and accessories from third parties, and handling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 for sales of new energy primarily includes gas cost purchased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 for delivery of oil and gas engineering technical service includes labor costs, and depreciation expenses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2" w:name="xdx_86B_zUlSdOCpBqS6"/>
      <w:bookmarkStart w:id="453" w:name="xdx_84C_eus-gaap--SellingGeneralAndAdmin"/>
      <w:bookmarkEnd w:id="452"/>
      <w:bookmarkEnd w:id="453"/>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mainly of payroll and related costs for employees involved in general corporate functions, including accounting, finance, tax, legal and human resources, professional fees and other general corporate expenses as well as costs associated with the use by these functions of facilities and equipment, such as depreciation and rental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4" w:name="xdx_869_zpEJkXNzUaHh"/>
      <w:bookmarkStart w:id="455" w:name="xdx_849_ecustom--SellingAndMarketingExpe"/>
      <w:bookmarkEnd w:id="454"/>
      <w:bookmarkEnd w:id="455"/>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expenses consist mainly of payroll and benefits for employees involved in the sales and distribution functions, and marketing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6" w:name="xdx_860_zZLeyonFTWad"/>
      <w:bookmarkStart w:id="457" w:name="xdx_840_eus-gaap--ResearchAndDevelopment"/>
      <w:bookmarkEnd w:id="456"/>
      <w:bookmarkEnd w:id="457"/>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payroll and related costs for employees involved in research functions and other general corporate expenses as well as costs associated with the use by these functions of facilities and equipment, such as depreciation and rental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58" w:name="xdx_869_zI7PmukhxeGe"/>
      <w:bookmarkStart w:id="459" w:name="xdx_844_eus-gaap--InterestExpensePolicyT"/>
      <w:bookmarkEnd w:id="458"/>
      <w:bookmarkEnd w:id="459"/>
      <w:r>
        <w:rPr>
          <w:rFonts w:ascii="Times New Roman;Times;Serif" w:hAnsi="Times New Roman;Times;Serif"/>
          <w:b/>
          <w:i/>
          <w:caps w:val="false"/>
          <w:smallCaps w:val="false"/>
          <w:sz w:val="20"/>
        </w:rPr>
        <w:t>Interest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is for interest on short-term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0" w:name="xdx_860_zbNtFi0B9otj"/>
      <w:bookmarkStart w:id="461" w:name="xdx_846_ecustom--OtherExpensesIncomeNetP"/>
      <w:bookmarkEnd w:id="460"/>
      <w:bookmarkEnd w:id="461"/>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 primarily consist of rent revenue, bank charges and other miscellaneous expenses, net of interest income from banks and other miscellaneous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2" w:name="xdx_860_zKaAfkBA80c9"/>
      <w:bookmarkStart w:id="463" w:name="xdx_843_ecustom--EmployeeContributionPla"/>
      <w:bookmarkEnd w:id="462"/>
      <w:bookmarkEnd w:id="463"/>
      <w:r>
        <w:rPr>
          <w:rFonts w:ascii="Times New Roman;Times;Serif" w:hAnsi="Times New Roman;Times;Serif"/>
          <w:b/>
          <w:i/>
          <w:caps w:val="false"/>
          <w:smallCaps w:val="false"/>
          <w:sz w:val="20"/>
        </w:rPr>
        <w:t>Mainland China employee contribution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stipulated by the regulations of the PRC, full-time employees of the Company are entitled to various government statutory employee benefit plans, including medical insurance, maternity insurance, workplace injury insurance, unemployment insurance and pension benefits through a PRC government-mandated multi-employer defined contribution plan. The Company is required to make contributions to the plan based on certain percentages of employees’ salaries. These expenses are recorded in general and administrative and selling expenses. The expenses the Company incurred for the plans were $</w:t>
      </w:r>
      <w:bookmarkStart w:id="464" w:name="xdx_901_eus-gaap--SellingGeneralAndAdmin"/>
      <w:bookmarkEnd w:id="464"/>
      <w:r>
        <w:rPr>
          <w:rFonts w:ascii="Times New Roman;Times;Serif" w:hAnsi="Times New Roman;Times;Serif"/>
          <w:b w:val="false"/>
          <w:i w:val="false"/>
          <w:caps w:val="false"/>
          <w:smallCaps w:val="false"/>
          <w:sz w:val="20"/>
        </w:rPr>
        <w:t>362,711 and $</w:t>
      </w:r>
      <w:bookmarkStart w:id="465" w:name="xdx_905_eus-gaap--SellingGeneralAndAdmin"/>
      <w:bookmarkEnd w:id="465"/>
      <w:r>
        <w:rPr>
          <w:rFonts w:ascii="Times New Roman;Times;Serif" w:hAnsi="Times New Roman;Times;Serif"/>
          <w:b w:val="false"/>
          <w:i w:val="false"/>
          <w:caps w:val="false"/>
          <w:smallCaps w:val="false"/>
          <w:sz w:val="20"/>
        </w:rPr>
        <w:t>334,168 for the six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6" w:name="xdx_86E_zLmelKy1Drik"/>
      <w:bookmarkStart w:id="467" w:name="xdx_846_eus-gaap--IncomeTaxPolicyTextBlo"/>
      <w:bookmarkEnd w:id="466"/>
      <w:bookmarkEnd w:id="467"/>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in the PRC and Hong Kong are subject to the income tax laws of the PRC and Hong Kong, respectively. No taxable income was generated outside the PRC for the six months ended March 31, 2026 and 2025. The Company accounts for income taxes in accordance with ASC 740, Income Taxes. ASC 740 requires an asset and liability approach for financial accounting and reporting for income taxes and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future deductibility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740-10-25 prescribes a more-likely-than-not threshold for financial statement recognition and measurement of a tax position taken (or expected to be taken) in a tax return. It also provides guidance on the recognition of income tax assets and liabilities, classification accounting for interest and penalties associated with tax positions, years open for tax examination, accounting for income taxes in interim periods and income tax disclosures. There were no uncertain tax positions as of March 31, 2026 and September 30,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68" w:name="xdx_860_zu07w2Q6ZOFh"/>
      <w:bookmarkStart w:id="469" w:name="xdx_84C_ecustom--ValueAddedTaxPolicyText"/>
      <w:bookmarkEnd w:id="468"/>
      <w:bookmarkEnd w:id="469"/>
      <w:r>
        <w:rPr>
          <w:rFonts w:ascii="Times New Roman;Times;Serif" w:hAnsi="Times New Roman;Times;Serif"/>
          <w:b/>
          <w:i/>
          <w:caps w:val="false"/>
          <w:smallCaps w:val="false"/>
          <w:sz w:val="20"/>
        </w:rPr>
        <w:t>Value Added Tax (“VAT”)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VAT rate for revenue generated from providing products is 13%. VAT is reported as a reduction of revenue when incurred. Entities that are VAT general taxpayers are allowed to offset qualified input VAT paid to suppliers against their output VAT liabilities. The net VAT balance between input VAT and output VAT is recorded in taxes payable. The Company records a VAT payable or receivable net of payments in the accompanying consolidated financial statements. All of the VAT returns filed by the Company’s subsidiaries in the PRC, have been and remain subject to examination by the tax authorities for five years from the date of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0" w:name="xdx_86C_zyekRsYqSJrh"/>
      <w:bookmarkStart w:id="471" w:name="xdx_840_eus-gaap--EarningsPerSharePolicy"/>
      <w:bookmarkEnd w:id="470"/>
      <w:bookmarkEnd w:id="471"/>
      <w:r>
        <w:rPr>
          <w:rFonts w:ascii="Times New Roman;Times;Serif" w:hAnsi="Times New Roman;Times;Serif"/>
          <w:b/>
          <w:i/>
          <w:caps w:val="false"/>
          <w:smallCaps w:val="false"/>
          <w:sz w:val="20"/>
        </w:rPr>
        <w:t>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earnings (loss) per share (“EPS”) in accordance with ASC 260, “Earnings per Share” (“ASC 260”). ASC 260 requires companies with complex capital structures to present basic and diluted EPS. Basic EPS is computed by dividing net income (loss) available to ordinary shareholders of the Company by the weighted average ordinary shares outstanding during the period. Diluted EPS takes into account the potential dilution that could occur if securities or other contracts to issue ordinary shares were exercised and converted into ordinary shares. When the Company has a net (loss), diluted securities are not included as they would be anti-dilutive. For the six months ended March 31, 2026 and 2025, there were no dilutive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2" w:name="xdx_86C_zzN8xXEmM8Ee"/>
      <w:bookmarkStart w:id="473" w:name="xdx_84C_eus-gaap--ComprehensiveIncomePol"/>
      <w:bookmarkEnd w:id="472"/>
      <w:bookmarkEnd w:id="473"/>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(loss) consists of two components, net income (loss) and other comprehensive income (loss). Net income (loss) refers to revenue, expenses, gains, and losses that under U.S. GAAP are recorded as an element of equity. Other comprehensive income (loss) consists of foreign currency translation adjustments from the Company not using the U.S. dollar as its functional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4" w:name="xdx_86D_zWt9ebJGCpi8"/>
      <w:bookmarkStart w:id="475" w:name="xdx_84D_eus-gaap--SegmentReportingPolicy"/>
      <w:bookmarkEnd w:id="474"/>
      <w:bookmarkEnd w:id="475"/>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requires use of the management approach model for segment reporting. The Company identifies operating segments as components of the consolidated operations for which discrete financial information is available and is regularly reviewed by the chief operating decision maker (“CODM”), in making decisions regarding resource allocation and evaluating financial performance. The Company defines the term CODM to be its Chief Executive Officer. The Company has determined it operates in one operating and reportable segment. The CODM reviews operating income (loss) presented only on a consolidated basis and uses this information for purposes of allocating resources and evaluating financial performance. There are no reconciling items between segment information and consolidated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segment expenses and other segment items that are provided to the CODM align with expense information that is included in the Company’s consolidated statements of operations and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assessment, the Company determined it has four operating segments: (i) clean-energy equipment; (ii) oil and gas engineering technical services; (iii) new energy production and operation; and (iv) digitalization and integration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76" w:name="xdx_86C_zAxp0JWMrgzj"/>
      <w:bookmarkStart w:id="477" w:name="xdx_845_eus-gaap--ConcentrationRiskCredi"/>
      <w:bookmarkEnd w:id="476"/>
      <w:bookmarkEnd w:id="477"/>
      <w:r>
        <w:rPr>
          <w:rFonts w:ascii="Times New Roman;Times;Serif" w:hAnsi="Times New Roman;Times;Serif"/>
          <w:b/>
          <w:i/>
          <w:caps w:val="false"/>
          <w:smallCaps w:val="false"/>
          <w:sz w:val="20"/>
        </w:rPr>
        <w:t>Significant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all of the Company’s operations are in the PRC. Accordingly, the Company’s business, financial condition and results of operations may be influenced by the political, economic and legal environment in the PRC, and by the general state of the PRC’s economy. The Company’s results may be adversely affected by changes in governmental policies with respect to laws and regulations, anti-inflationary measures, currency conversion and remittance abroad, and rates and methods of taxation,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concentrations of credit risk consist principally of cash, restricted cash, accounts receivable, notes receivable, advances to suppliers and due from related parties. A portion of the Company’s sales are credit sales which are to the customers whose ability to pay is dependent upon industry economics prevailing in these areas; however, concentrations of credit risk with respect to trade accounts receivable is limited due to most clients of the Company are state-owned enterprises. The Company also performs ongoing credit evaluations of its customers to help further reduce credit risk.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and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8" w:name="xdx_899_eus-gaap--SchedulesOfConcentrati"/>
      <w:bookmarkEnd w:id="478"/>
      <w:r>
        <w:rPr>
          <w:rFonts w:ascii="Times New Roman;Times;Serif" w:hAnsi="Times New Roman;Times;Serif"/>
          <w:b w:val="false"/>
          <w:i w:val="false"/>
          <w:caps w:val="false"/>
          <w:smallCaps w:val="false"/>
          <w:sz w:val="20"/>
        </w:rPr>
        <w:t>Details of the customers accounting for 10% or more of the Company’s total revenues are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79" w:name="xdx_8BB_zdGmaCFtXmv5"/>
      <w:bookmarkEnd w:id="479"/>
      <w:r>
        <w:rPr>
          <w:rFonts w:ascii="Times New Roman;Times;Serif" w:hAnsi="Times New Roman;Times;Serif"/>
          <w:b w:val="false"/>
          <w:i w:val="false"/>
          <w:caps w:val="false"/>
          <w:smallCaps w:val="false"/>
          <w:sz w:val="20"/>
        </w:rPr>
        <w:t>SCHEDULE OF CONCENTRATIONS </w:t>
      </w:r>
    </w:p>
    <w:tbl>
      <w:tblPr>
        <w:tblW w:w="5583" w:type="dxa"/>
        <w:jc w:val="left"/>
        <w:tblInd w:w="0" w:type="dxa"/>
        <w:tblLayout w:type="fixed"/>
        <w:tblCellMar>
          <w:top w:w="0" w:type="dxa"/>
          <w:left w:w="0" w:type="dxa"/>
          <w:bottom w:w="0" w:type="dxa"/>
          <w:right w:w="0" w:type="dxa"/>
        </w:tblCellMar>
      </w:tblPr>
      <w:tblGrid>
        <w:gridCol w:w="1190"/>
        <w:gridCol w:w="60"/>
        <w:gridCol w:w="155"/>
        <w:gridCol w:w="1094"/>
        <w:gridCol w:w="60"/>
        <w:gridCol w:w="60"/>
        <w:gridCol w:w="60"/>
        <w:gridCol w:w="440"/>
        <w:gridCol w:w="260"/>
        <w:gridCol w:w="60"/>
        <w:gridCol w:w="141"/>
        <w:gridCol w:w="1108"/>
        <w:gridCol w:w="60"/>
        <w:gridCol w:w="60"/>
        <w:gridCol w:w="60"/>
        <w:gridCol w:w="440"/>
        <w:gridCol w:w="275"/>
      </w:tblGrid>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5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2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bookmarkStart w:id="480" w:name="xdx_903_eus-gaap--RevenueFromContractWit"/>
            <w:bookmarkEnd w:id="48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481" w:name="xdx_908_eus-gaap--ConcentrationRiskPerce"/>
            <w:bookmarkEnd w:id="481"/>
            <w:r>
              <w:rPr/>
              <w:t>-</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bookmarkStart w:id="482" w:name="xdx_90B_eus-gaap--RevenueFromContractWit"/>
            <w:bookmarkEnd w:id="482"/>
            <w:r>
              <w:rPr/>
              <w:t>6,176,480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483" w:name="xdx_90B_eus-gaap--ConcentrationRiskPerce"/>
            <w:bookmarkEnd w:id="483"/>
            <w:r>
              <w:rPr/>
              <w:t>21.9</w:t>
            </w:r>
          </w:p>
        </w:tc>
        <w:tc>
          <w:tcPr>
            <w:tcW w:w="275" w:type="dxa"/>
            <w:tcBorders/>
            <w:shd w:fill="CCEEFF" w:val="clear"/>
            <w:vAlign w:val="center"/>
          </w:tcPr>
          <w:p>
            <w:pPr>
              <w:pStyle w:val="TableContents"/>
              <w:bidi w:val="0"/>
              <w:spacing w:before="0" w:after="283"/>
              <w:jc w:val="left"/>
              <w:rPr/>
            </w:pPr>
            <w:r>
              <w:rPr/>
              <w:t>%</w:t>
            </w:r>
          </w:p>
        </w:tc>
      </w:tr>
      <w:tr>
        <w:trPr/>
        <w:tc>
          <w:tcPr>
            <w:tcW w:w="119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84" w:name="xdx_90C_eus-gaap--RevenueFromContractWit"/>
            <w:bookmarkEnd w:id="484"/>
            <w:r>
              <w:rPr/>
              <w:t>4,208,476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85" w:name="xdx_902_eus-gaap--ConcentrationRiskPerce"/>
            <w:bookmarkEnd w:id="485"/>
            <w:r>
              <w:rPr/>
              <w:t>20.1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86" w:name="xdx_90B_eus-gaap--RevenueFromContractWit"/>
            <w:bookmarkEnd w:id="486"/>
            <w:r>
              <w:rPr/>
              <w:t>3,893,576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87" w:name="xdx_908_eus-gaap--ConcentrationRiskPerce"/>
            <w:bookmarkEnd w:id="487"/>
            <w:r>
              <w:rPr/>
              <w:t>13.8</w:t>
            </w:r>
          </w:p>
        </w:tc>
        <w:tc>
          <w:tcPr>
            <w:tcW w:w="275" w:type="dxa"/>
            <w:tcBorders/>
            <w:shd w:fill="FFFFFF" w:val="clear"/>
            <w:vAlign w:val="center"/>
          </w:tcPr>
          <w:p>
            <w:pPr>
              <w:pStyle w:val="TableContents"/>
              <w:bidi w:val="0"/>
              <w:spacing w:before="0" w:after="283"/>
              <w:jc w:val="left"/>
              <w:rPr/>
            </w:pPr>
            <w:r>
              <w:rPr/>
              <w:t>%</w:t>
            </w:r>
          </w:p>
        </w:tc>
      </w:tr>
      <w:tr>
        <w:trPr/>
        <w:tc>
          <w:tcPr>
            <w:tcW w:w="119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88" w:name="xdx_90A_eus-gaap--RevenueFromContractWit"/>
            <w:bookmarkEnd w:id="488"/>
            <w:r>
              <w:rPr>
                <w:b/>
              </w:rPr>
              <w:t>4,208,476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89" w:name="xdx_907_eus-gaap--ConcentrationRiskPerce"/>
            <w:bookmarkEnd w:id="489"/>
            <w:r>
              <w:rPr>
                <w:b/>
              </w:rPr>
              <w:t>20.1</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90" w:name="xdx_90F_eus-gaap--RevenueFromContractWit"/>
            <w:bookmarkEnd w:id="490"/>
            <w:r>
              <w:rPr>
                <w:b/>
              </w:rPr>
              <w:t>10,070,056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491" w:name="xdx_908_eus-gaap--ConcentrationRiskPerce"/>
            <w:bookmarkEnd w:id="491"/>
            <w:r>
              <w:rPr>
                <w:b/>
              </w:rPr>
              <w:t>35.7</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customers which accounted for 10% or more of the Company’s accounts receivable are as follows:</w:t>
      </w:r>
    </w:p>
    <w:p>
      <w:pPr>
        <w:pStyle w:val="TextBody"/>
        <w:bidi w:val="0"/>
        <w:spacing w:before="0" w:after="0"/>
        <w:ind w:left="0" w:right="0" w:hanging="0"/>
        <w:jc w:val="left"/>
        <w:rPr>
          <w:caps w:val="false"/>
          <w:smallCaps w:val="false"/>
        </w:rPr>
      </w:pPr>
      <w:r>
        <w:rPr>
          <w:caps w:val="false"/>
          <w:smallCaps w:val="false"/>
        </w:rPr>
        <w:t> </w:t>
      </w:r>
    </w:p>
    <w:tbl>
      <w:tblPr>
        <w:tblW w:w="5757" w:type="dxa"/>
        <w:jc w:val="left"/>
        <w:tblInd w:w="0" w:type="dxa"/>
        <w:tblLayout w:type="fixed"/>
        <w:tblCellMar>
          <w:top w:w="0" w:type="dxa"/>
          <w:left w:w="0" w:type="dxa"/>
          <w:bottom w:w="0" w:type="dxa"/>
          <w:right w:w="0" w:type="dxa"/>
        </w:tblCellMar>
      </w:tblPr>
      <w:tblGrid>
        <w:gridCol w:w="1175"/>
        <w:gridCol w:w="60"/>
        <w:gridCol w:w="155"/>
        <w:gridCol w:w="1094"/>
        <w:gridCol w:w="60"/>
        <w:gridCol w:w="60"/>
        <w:gridCol w:w="60"/>
        <w:gridCol w:w="440"/>
        <w:gridCol w:w="260"/>
        <w:gridCol w:w="60"/>
        <w:gridCol w:w="165"/>
        <w:gridCol w:w="1160"/>
        <w:gridCol w:w="71"/>
        <w:gridCol w:w="71"/>
        <w:gridCol w:w="71"/>
        <w:gridCol w:w="520"/>
        <w:gridCol w:w="275"/>
      </w:tblGrid>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2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1"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283"/>
              <w:jc w:val="left"/>
              <w:rPr/>
            </w:pPr>
            <w:r>
              <w:rPr/>
              <w:t>Customer B</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bookmarkStart w:id="492" w:name="xdx_90E_eus-gaap--RevenueFromContractWit"/>
            <w:bookmarkEnd w:id="492"/>
            <w:r>
              <w:rPr/>
              <w:t>6,287,015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493" w:name="xdx_903_eus-gaap--ConcentrationRiskPerce"/>
            <w:bookmarkEnd w:id="493"/>
            <w:r>
              <w:rPr/>
              <w:t>23.9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bookmarkStart w:id="494" w:name="xdx_900_eus-gaap--RevenueFromContractWit"/>
            <w:bookmarkEnd w:id="494"/>
            <w:r>
              <w:rPr/>
              <w:t>4,650,537</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bookmarkStart w:id="495" w:name="xdx_909_eus-gaap--ConcentrationRiskPerce"/>
            <w:bookmarkEnd w:id="495"/>
            <w:r>
              <w:rPr/>
              <w:t>19.9</w:t>
            </w:r>
          </w:p>
        </w:tc>
        <w:tc>
          <w:tcPr>
            <w:tcW w:w="275" w:type="dxa"/>
            <w:tcBorders/>
            <w:shd w:fill="CCEEFF" w:val="clear"/>
            <w:vAlign w:val="center"/>
          </w:tcPr>
          <w:p>
            <w:pPr>
              <w:pStyle w:val="TableContents"/>
              <w:bidi w:val="0"/>
              <w:spacing w:before="0" w:after="283"/>
              <w:jc w:val="left"/>
              <w:rPr/>
            </w:pPr>
            <w:r>
              <w:rPr/>
              <w:t>%</w:t>
            </w:r>
          </w:p>
        </w:tc>
      </w:tr>
      <w:tr>
        <w:trPr/>
        <w:tc>
          <w:tcPr>
            <w:tcW w:w="1175" w:type="dxa"/>
            <w:tcBorders/>
            <w:shd w:fill="FFFFFF" w:val="clear"/>
            <w:vAlign w:val="center"/>
          </w:tcPr>
          <w:p>
            <w:pPr>
              <w:pStyle w:val="TableContents"/>
              <w:bidi w:val="0"/>
              <w:spacing w:before="0" w:after="283"/>
              <w:jc w:val="left"/>
              <w:rPr/>
            </w:pPr>
            <w:r>
              <w:rPr/>
              <w:t>Customer C</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96" w:name="xdx_904_eus-gaap--RevenueFromContractWit"/>
            <w:bookmarkEnd w:id="496"/>
            <w:r>
              <w:rPr/>
              <w:t>3,339,165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97" w:name="xdx_90C_eus-gaap--ConcentrationRiskPerce"/>
            <w:bookmarkEnd w:id="497"/>
            <w:r>
              <w:rPr/>
              <w:t>12.7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98" w:name="xdx_90A_eus-gaap--RevenueFromContractWit"/>
            <w:bookmarkEnd w:id="498"/>
            <w:r>
              <w:rPr/>
              <w:t>4,306,546</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99" w:name="xdx_909_eus-gaap--ConcentrationRiskPerce"/>
            <w:bookmarkEnd w:id="499"/>
            <w:r>
              <w:rPr/>
              <w:t>18.4</w:t>
            </w:r>
          </w:p>
        </w:tc>
        <w:tc>
          <w:tcPr>
            <w:tcW w:w="275" w:type="dxa"/>
            <w:tcBorders/>
            <w:shd w:fill="FFFFFF" w:val="clear"/>
            <w:vAlign w:val="center"/>
          </w:tcPr>
          <w:p>
            <w:pPr>
              <w:pStyle w:val="TableContents"/>
              <w:bidi w:val="0"/>
              <w:spacing w:before="0" w:after="283"/>
              <w:jc w:val="left"/>
              <w:rPr/>
            </w:pPr>
            <w:r>
              <w:rPr/>
              <w:t>%</w:t>
            </w:r>
          </w:p>
        </w:tc>
      </w:tr>
      <w:tr>
        <w:trPr/>
        <w:tc>
          <w:tcPr>
            <w:tcW w:w="117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00" w:name="xdx_90A_eus-gaap--RevenueFromContractWit"/>
            <w:bookmarkEnd w:id="500"/>
            <w:r>
              <w:rPr>
                <w:b/>
              </w:rPr>
              <w:t>9,626,180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01" w:name="xdx_904_eus-gaap--ConcentrationRiskPerce"/>
            <w:bookmarkEnd w:id="501"/>
            <w:r>
              <w:rPr>
                <w:b/>
              </w:rPr>
              <w:t>36.6</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02" w:name="xdx_90F_eus-gaap--RevenueFromContractWit"/>
            <w:bookmarkEnd w:id="502"/>
            <w:r>
              <w:rPr>
                <w:b/>
              </w:rPr>
              <w:t>8,957,083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03" w:name="xdx_908_eus-gaap--ConcentrationRiskPerce"/>
            <w:bookmarkEnd w:id="503"/>
            <w:r>
              <w:rPr>
                <w:b/>
              </w:rPr>
              <w:t>38.3</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vendors which accounted for 10% or more of the Company’s purchases are as follows:</w:t>
      </w:r>
    </w:p>
    <w:p>
      <w:pPr>
        <w:pStyle w:val="TextBody"/>
        <w:bidi w:val="0"/>
        <w:spacing w:before="0" w:after="0"/>
        <w:ind w:left="0" w:right="0" w:hanging="0"/>
        <w:jc w:val="both"/>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995"/>
        <w:gridCol w:w="60"/>
        <w:gridCol w:w="155"/>
        <w:gridCol w:w="1094"/>
        <w:gridCol w:w="60"/>
        <w:gridCol w:w="60"/>
        <w:gridCol w:w="60"/>
        <w:gridCol w:w="440"/>
        <w:gridCol w:w="260"/>
        <w:gridCol w:w="60"/>
        <w:gridCol w:w="155"/>
        <w:gridCol w:w="1094"/>
        <w:gridCol w:w="60"/>
        <w:gridCol w:w="60"/>
        <w:gridCol w:w="60"/>
        <w:gridCol w:w="440"/>
        <w:gridCol w:w="2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5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March 31,</w:t>
            </w:r>
          </w:p>
        </w:tc>
        <w:tc>
          <w:tcPr>
            <w:tcW w:w="2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A</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bookmarkStart w:id="504" w:name="xdx_906_eus-gaap--RevenueFromContractWit"/>
            <w:bookmarkEnd w:id="50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505" w:name="xdx_90C_eus-gaap--ConcentrationRiskPerce"/>
            <w:bookmarkEnd w:id="505"/>
            <w:r>
              <w:rPr/>
              <w:t>-</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bookmarkStart w:id="506" w:name="xdx_900_eus-gaap--RevenueFromContractWit"/>
            <w:bookmarkEnd w:id="506"/>
            <w:r>
              <w:rPr/>
              <w:t>2,838,054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507" w:name="xdx_90D_eus-gaap--ConcentrationRiskPerce"/>
            <w:bookmarkEnd w:id="507"/>
            <w:r>
              <w:rPr/>
              <w:t>13.2</w:t>
            </w:r>
          </w:p>
        </w:tc>
        <w:tc>
          <w:tcPr>
            <w:tcW w:w="275" w:type="dxa"/>
            <w:tcBorders/>
            <w:shd w:fill="CCEEFF" w:val="clear"/>
            <w:vAlign w:val="center"/>
          </w:tcPr>
          <w:p>
            <w:pPr>
              <w:pStyle w:val="TableContents"/>
              <w:bidi w:val="0"/>
              <w:spacing w:before="0" w:after="283"/>
              <w:jc w:val="left"/>
              <w:rPr/>
            </w:pPr>
            <w:r>
              <w:rPr/>
              <w:t>%</w:t>
            </w:r>
          </w:p>
        </w:tc>
      </w:tr>
      <w:tr>
        <w:trPr/>
        <w:tc>
          <w:tcPr>
            <w:tcW w:w="995" w:type="dxa"/>
            <w:tcBorders/>
            <w:shd w:fill="FFFFFF" w:val="clear"/>
            <w:vAlign w:val="center"/>
          </w:tcPr>
          <w:p>
            <w:pPr>
              <w:pStyle w:val="TableContents"/>
              <w:bidi w:val="0"/>
              <w:spacing w:before="0" w:after="283"/>
              <w:jc w:val="left"/>
              <w:rPr/>
            </w:pPr>
            <w:r>
              <w:rPr/>
              <w:t>Vendor B</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bookmarkStart w:id="508" w:name="xdx_90C_eus-gaap--RevenueFromContractWit"/>
            <w:bookmarkEnd w:id="50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bookmarkStart w:id="509" w:name="xdx_905_eus-gaap--ConcentrationRiskPerce"/>
            <w:bookmarkEnd w:id="509"/>
            <w:r>
              <w:rPr/>
              <w:t>-</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bookmarkStart w:id="510" w:name="xdx_904_eus-gaap--RevenueFromContractWit"/>
            <w:bookmarkEnd w:id="510"/>
            <w:r>
              <w:rPr/>
              <w:t>2,128,178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bookmarkStart w:id="511" w:name="xdx_900_eus-gaap--ConcentrationRiskPerce"/>
            <w:bookmarkEnd w:id="511"/>
            <w:r>
              <w:rPr/>
              <w:t>9.9</w:t>
            </w:r>
          </w:p>
        </w:tc>
        <w:tc>
          <w:tcPr>
            <w:tcW w:w="275" w:type="dxa"/>
            <w:tcBorders/>
            <w:shd w:fill="FFFFFF" w:val="clear"/>
            <w:vAlign w:val="center"/>
          </w:tcPr>
          <w:p>
            <w:pPr>
              <w:pStyle w:val="TableContents"/>
              <w:bidi w:val="0"/>
              <w:spacing w:before="0" w:after="283"/>
              <w:jc w:val="left"/>
              <w:rPr/>
            </w:pPr>
            <w:r>
              <w:rPr/>
              <w:t>%</w:t>
            </w:r>
          </w:p>
        </w:tc>
      </w:tr>
      <w:tr>
        <w:trPr/>
        <w:tc>
          <w:tcPr>
            <w:tcW w:w="995" w:type="dxa"/>
            <w:tcBorders/>
            <w:shd w:fill="CCEEFF" w:val="clear"/>
            <w:vAlign w:val="center"/>
          </w:tcPr>
          <w:p>
            <w:pPr>
              <w:pStyle w:val="TableContents"/>
              <w:bidi w:val="0"/>
              <w:spacing w:before="0" w:after="283"/>
              <w:jc w:val="left"/>
              <w:rPr/>
            </w:pPr>
            <w:r>
              <w:rPr/>
              <w:t>Vendor C</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2" w:name="xdx_902_eus-gaap--RevenueFromContractWit"/>
            <w:bookmarkEnd w:id="512"/>
            <w:r>
              <w:rPr/>
              <w:t>2,103,730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3" w:name="xdx_906_eus-gaap--ConcentrationRiskPerce"/>
            <w:bookmarkEnd w:id="513"/>
            <w:r>
              <w:rPr/>
              <w:t>12.7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4" w:name="xdx_901_eus-gaap--RevenueFromContractWit"/>
            <w:bookmarkEnd w:id="51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515" w:name="xdx_90B_eus-gaap--ConcentrationRiskPerce"/>
            <w:bookmarkEnd w:id="515"/>
            <w:r>
              <w:rPr/>
              <w:t>-</w:t>
            </w:r>
          </w:p>
        </w:tc>
        <w:tc>
          <w:tcPr>
            <w:tcW w:w="275" w:type="dxa"/>
            <w:tcBorders/>
            <w:shd w:fill="CCEEFF" w:val="clear"/>
            <w:vAlign w:val="center"/>
          </w:tcPr>
          <w:p>
            <w:pPr>
              <w:pStyle w:val="TableContents"/>
              <w:bidi w:val="0"/>
              <w:spacing w:before="0" w:after="283"/>
              <w:jc w:val="left"/>
              <w:rPr/>
            </w:pPr>
            <w:r>
              <w:rPr/>
              <w:t>%</w:t>
            </w:r>
          </w:p>
        </w:tc>
      </w:tr>
      <w:tr>
        <w:trPr/>
        <w:tc>
          <w:tcPr>
            <w:tcW w:w="99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16" w:name="xdx_906_eus-gaap--RevenueFromContractWit"/>
            <w:bookmarkEnd w:id="516"/>
            <w:r>
              <w:rPr>
                <w:b/>
              </w:rPr>
              <w:t>2,103,730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17" w:name="xdx_902_eus-gaap--ConcentrationRiskPerce"/>
            <w:bookmarkEnd w:id="517"/>
            <w:r>
              <w:rPr>
                <w:b/>
              </w:rPr>
              <w:t>12.7</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18" w:name="xdx_903_eus-gaap--RevenueFromContractWit"/>
            <w:bookmarkEnd w:id="518"/>
            <w:r>
              <w:rPr>
                <w:b/>
              </w:rPr>
              <w:t>4,966,232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519" w:name="xdx_909_eus-gaap--ConcentrationRiskPerce"/>
            <w:bookmarkEnd w:id="519"/>
            <w:r>
              <w:rPr>
                <w:b/>
              </w:rPr>
              <w:t>23.1</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vendors which accounted for 10% or more of the Company’s accounts payable are as follows:</w:t>
      </w:r>
    </w:p>
    <w:p>
      <w:pPr>
        <w:pStyle w:val="TextBody"/>
        <w:bidi w:val="0"/>
        <w:spacing w:before="0" w:after="0"/>
        <w:ind w:left="0" w:right="0" w:hanging="0"/>
        <w:jc w:val="left"/>
        <w:rPr>
          <w:caps w:val="false"/>
          <w:smallCaps w:val="false"/>
        </w:rPr>
      </w:pPr>
      <w:r>
        <w:rPr>
          <w:caps w:val="false"/>
          <w:smallCaps w:val="false"/>
        </w:rPr>
        <w:t> </w:t>
      </w:r>
    </w:p>
    <w:tbl>
      <w:tblPr>
        <w:tblW w:w="5577" w:type="dxa"/>
        <w:jc w:val="left"/>
        <w:tblInd w:w="0" w:type="dxa"/>
        <w:tblLayout w:type="fixed"/>
        <w:tblCellMar>
          <w:top w:w="0" w:type="dxa"/>
          <w:left w:w="0" w:type="dxa"/>
          <w:bottom w:w="0" w:type="dxa"/>
          <w:right w:w="0" w:type="dxa"/>
        </w:tblCellMar>
      </w:tblPr>
      <w:tblGrid>
        <w:gridCol w:w="995"/>
        <w:gridCol w:w="60"/>
        <w:gridCol w:w="155"/>
        <w:gridCol w:w="1094"/>
        <w:gridCol w:w="60"/>
        <w:gridCol w:w="60"/>
        <w:gridCol w:w="60"/>
        <w:gridCol w:w="440"/>
        <w:gridCol w:w="260"/>
        <w:gridCol w:w="60"/>
        <w:gridCol w:w="165"/>
        <w:gridCol w:w="1160"/>
        <w:gridCol w:w="71"/>
        <w:gridCol w:w="71"/>
        <w:gridCol w:w="71"/>
        <w:gridCol w:w="520"/>
        <w:gridCol w:w="275"/>
      </w:tblGrid>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2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6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1"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283"/>
              <w:jc w:val="left"/>
              <w:rPr/>
            </w:pPr>
            <w:r>
              <w:rPr/>
              <w:t>Vendor B</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bookmarkStart w:id="520" w:name="xdx_906_eus-gaap--RevenueFromContractWit"/>
            <w:bookmarkEnd w:id="520"/>
            <w:r>
              <w:rPr/>
              <w:t>3,324,655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bookmarkStart w:id="521" w:name="xdx_90C_eus-gaap--ConcentrationRiskPerce"/>
            <w:bookmarkEnd w:id="521"/>
            <w:r>
              <w:rPr/>
              <w:t>38.7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bookmarkStart w:id="522" w:name="xdx_90B_eus-gaap--RevenueFromContractWit"/>
            <w:bookmarkEnd w:id="522"/>
            <w:r>
              <w:rPr/>
              <w:t>3,600,703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bookmarkStart w:id="523" w:name="xdx_90D_eus-gaap--ConcentrationRiskPerce"/>
            <w:bookmarkEnd w:id="523"/>
            <w:r>
              <w:rPr/>
              <w:t>47.8</w:t>
            </w:r>
          </w:p>
        </w:tc>
        <w:tc>
          <w:tcPr>
            <w:tcW w:w="275" w:type="dxa"/>
            <w:tcBorders/>
            <w:shd w:fill="CCEEFF" w:val="clear"/>
            <w:vAlign w:val="center"/>
          </w:tcPr>
          <w:p>
            <w:pPr>
              <w:pStyle w:val="TableContents"/>
              <w:bidi w:val="0"/>
              <w:spacing w:before="0" w:after="283"/>
              <w:jc w:val="left"/>
              <w:rPr/>
            </w:pPr>
            <w:r>
              <w:rPr/>
              <w:t>%</w:t>
            </w:r>
          </w:p>
        </w:tc>
      </w:tr>
      <w:tr>
        <w:trPr/>
        <w:tc>
          <w:tcPr>
            <w:tcW w:w="995" w:type="dxa"/>
            <w:tcBorders/>
            <w:shd w:fill="FFFFFF" w:val="clear"/>
            <w:vAlign w:val="center"/>
          </w:tcPr>
          <w:p>
            <w:pPr>
              <w:pStyle w:val="TableContents"/>
              <w:bidi w:val="0"/>
              <w:spacing w:before="0" w:after="283"/>
              <w:jc w:val="left"/>
              <w:rPr/>
            </w:pPr>
            <w:r>
              <w:rPr/>
              <w:t>Vendor 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24" w:name="xdx_90A_eus-gaap--RevenueFromContractWit"/>
            <w:bookmarkEnd w:id="524"/>
            <w:r>
              <w:rPr/>
              <w:t>1,442,065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25" w:name="xdx_901_eus-gaap--ConcentrationRiskPerce"/>
            <w:bookmarkEnd w:id="525"/>
            <w:r>
              <w:rPr/>
              <w:t>16.8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26" w:name="xdx_909_eus-gaap--RevenueFromContractWit"/>
            <w:bookmarkEnd w:id="526"/>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527" w:name="xdx_907_eus-gaap--ConcentrationRiskPerce"/>
            <w:bookmarkEnd w:id="527"/>
            <w:r>
              <w:rPr/>
              <w:t>-</w:t>
            </w:r>
          </w:p>
        </w:tc>
        <w:tc>
          <w:tcPr>
            <w:tcW w:w="275" w:type="dxa"/>
            <w:tcBorders/>
            <w:shd w:fill="FFFFFF" w:val="clear"/>
            <w:vAlign w:val="center"/>
          </w:tcPr>
          <w:p>
            <w:pPr>
              <w:pStyle w:val="TableContents"/>
              <w:bidi w:val="0"/>
              <w:spacing w:before="0" w:after="283"/>
              <w:jc w:val="left"/>
              <w:rPr/>
            </w:pPr>
            <w:r>
              <w:rPr/>
              <w:t>%</w:t>
            </w:r>
          </w:p>
        </w:tc>
      </w:tr>
      <w:tr>
        <w:trPr/>
        <w:tc>
          <w:tcPr>
            <w:tcW w:w="99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28" w:name="xdx_903_eus-gaap--RevenueFromContractWit"/>
            <w:bookmarkEnd w:id="528"/>
            <w:r>
              <w:rPr>
                <w:b/>
              </w:rPr>
              <w:t>4,766,720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29" w:name="xdx_90F_eus-gaap--ConcentrationRiskPerce"/>
            <w:bookmarkEnd w:id="529"/>
            <w:r>
              <w:rPr>
                <w:b/>
              </w:rPr>
              <w:t>55.5</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30" w:name="xdx_90E_eus-gaap--RevenueFromContractWit"/>
            <w:bookmarkEnd w:id="530"/>
            <w:r>
              <w:rPr>
                <w:b/>
              </w:rPr>
              <w:t>3,600,703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20" w:type="dxa"/>
            <w:tcBorders>
              <w:bottom w:val="double" w:sz="6" w:space="0" w:color="000000"/>
            </w:tcBorders>
            <w:shd w:fill="CCEEFF" w:val="clear"/>
            <w:tcMar>
              <w:bottom w:w="28" w:type="dxa"/>
            </w:tcMar>
            <w:vAlign w:val="center"/>
          </w:tcPr>
          <w:p>
            <w:pPr>
              <w:pStyle w:val="TableContents"/>
              <w:bidi w:val="0"/>
              <w:spacing w:before="0" w:after="283"/>
              <w:jc w:val="right"/>
              <w:rPr>
                <w:b/>
              </w:rPr>
            </w:pPr>
            <w:bookmarkStart w:id="531" w:name="xdx_908_eus-gaap--ConcentrationRiskPerce"/>
            <w:bookmarkEnd w:id="531"/>
            <w:r>
              <w:rPr>
                <w:b/>
              </w:rPr>
              <w:t>47.8</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bookmarkStart w:id="532" w:name="xdx_8AF_zxwRjR8g8iE6"/>
      <w:bookmarkEnd w:id="532"/>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33" w:name="xdx_862_zF0rCsRPT4K4"/>
      <w:bookmarkStart w:id="534" w:name="xdx_846_ecustom--RelatedPartiesPolicyTex"/>
      <w:bookmarkEnd w:id="533"/>
      <w:bookmarkEnd w:id="534"/>
      <w:r>
        <w:rPr>
          <w:rFonts w:ascii="Times New Roman;Times;Serif" w:hAnsi="Times New Roman;Times;Serif"/>
          <w:b/>
          <w:i/>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party is considered related to the Company if it directly or indirectly or through one or more intermediaries, controls, is controlled by, or is under common control with the Company. Related parties also include principal owners of the Company, its management, members of their immediate families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535" w:name="xdx_867_zskPUbCiIP8j"/>
      <w:bookmarkStart w:id="536" w:name="xdx_845_eus-gaap--NewAccountingPronounce"/>
      <w:bookmarkEnd w:id="535"/>
      <w:bookmarkEnd w:id="536"/>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Improvements to Income Tax Disclosures, which requires disaggregated information about an entity’s effective tax rate reconciliation and additional discloses on income taxes paid. The new requirements are effective for annual periods beginning after December 15, 2024. The guidance is to be applied prospectively, with an option for retrospective application. The Company adopted this ASU on January 1, 2026. The adoption did not have a material impact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on Disaggregation of Income Statement Expenses that enhances disclosure of certain costs and expenses to provide enhanced transparency into the expenses presented in the income statement. The updates are effective for annual periods beginning after December 15, 2026. The Company is still assessing the impact of the related disclosure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its unaudited condensed consolidated financial statements.</w:t>
      </w:r>
    </w:p>
    <w:p>
      <w:pPr>
        <w:pStyle w:val="TextBody"/>
        <w:bidi w:val="0"/>
        <w:spacing w:before="0" w:after="0"/>
        <w:ind w:left="0" w:right="0" w:hanging="0"/>
        <w:jc w:val="both"/>
        <w:rPr>
          <w:caps w:val="false"/>
          <w:smallCaps w:val="false"/>
        </w:rPr>
      </w:pPr>
      <w:bookmarkStart w:id="537" w:name="xdx_850_zePFd60kEG3d"/>
      <w:bookmarkEnd w:id="537"/>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bookmarkStart w:id="538" w:name="xdx_803_ecustom--ShortTermInvestmentText"/>
      <w:bookmarkEnd w:id="538"/>
      <w:r>
        <w:rPr>
          <w:rFonts w:ascii="Times New Roman;Times;Serif" w:hAnsi="Times New Roman;Times;Serif"/>
          <w:b/>
          <w:i w:val="false"/>
          <w:caps w:val="false"/>
          <w:smallCaps w:val="false"/>
          <w:sz w:val="20"/>
        </w:rPr>
        <w:t xml:space="preserve">NOTE 3 – </w:t>
      </w:r>
      <w:bookmarkStart w:id="539" w:name="xdx_82B_zr3zEJiDWm8c"/>
      <w:bookmarkEnd w:id="539"/>
      <w:r>
        <w:rPr>
          <w:rFonts w:ascii="Times New Roman;Times;Serif" w:hAnsi="Times New Roman;Times;Serif"/>
          <w:b/>
          <w:i w:val="false"/>
          <w:caps w:val="false"/>
          <w:smallCaps w:val="false"/>
          <w:sz w:val="20"/>
        </w:rPr>
        <w:t>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40" w:name="xdx_89C_ecustom--ShortTermInvestmentTabl"/>
      <w:bookmarkEnd w:id="540"/>
      <w:r>
        <w:rPr>
          <w:rFonts w:ascii="Times New Roman;Times;Serif" w:hAnsi="Times New Roman;Times;Serif"/>
          <w:b w:val="false"/>
          <w:i w:val="false"/>
          <w:caps w:val="false"/>
          <w:smallCaps w:val="false"/>
          <w:sz w:val="20"/>
        </w:rPr>
        <w:t>Short-term investments consisted of the following: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41" w:name="xdx_8BE_z2jFQEzto8vh"/>
      <w:bookmarkEnd w:id="541"/>
      <w:r>
        <w:rPr>
          <w:rFonts w:ascii="Times New Roman;Times;Serif" w:hAnsi="Times New Roman;Times;Serif"/>
          <w:b w:val="false"/>
          <w:i w:val="false"/>
          <w:caps w:val="false"/>
          <w:smallCaps w:val="false"/>
          <w:sz w:val="20"/>
        </w:rPr>
        <w:t>SCHEDULE OF SHORT TERM INVESTMENT </w:t>
      </w:r>
    </w:p>
    <w:tbl>
      <w:tblPr>
        <w:tblW w:w="5704" w:type="dxa"/>
        <w:jc w:val="left"/>
        <w:tblInd w:w="0" w:type="dxa"/>
        <w:tblLayout w:type="fixed"/>
        <w:tblCellMar>
          <w:top w:w="0" w:type="dxa"/>
          <w:left w:w="0" w:type="dxa"/>
          <w:bottom w:w="0" w:type="dxa"/>
          <w:right w:w="0" w:type="dxa"/>
        </w:tblCellMar>
      </w:tblPr>
      <w:tblGrid>
        <w:gridCol w:w="2960"/>
        <w:gridCol w:w="60"/>
        <w:gridCol w:w="141"/>
        <w:gridCol w:w="1108"/>
        <w:gridCol w:w="60"/>
        <w:gridCol w:w="60"/>
        <w:gridCol w:w="140"/>
        <w:gridCol w:w="1100"/>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2" w:name="xdx_49D_20260331_zVGzBzg3z2Bd"/>
            <w:bookmarkEnd w:id="542"/>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3" w:name="xdx_494_20250930_zI6SpvlzJYH5"/>
            <w:bookmarkEnd w:id="543"/>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544" w:name="xdx_406_eus-gaap--ShortTermInvestments_i"/>
            <w:bookmarkEnd w:id="544"/>
          </w:p>
        </w:tc>
      </w:tr>
      <w:tr>
        <w:trPr/>
        <w:tc>
          <w:tcPr>
            <w:tcW w:w="2960" w:type="dxa"/>
            <w:tcBorders/>
            <w:shd w:fill="CCEEFF" w:val="clear"/>
            <w:vAlign w:val="center"/>
          </w:tcPr>
          <w:p>
            <w:pPr>
              <w:pStyle w:val="TableContents"/>
              <w:bidi w:val="0"/>
              <w:spacing w:before="0" w:after="283"/>
              <w:jc w:val="left"/>
              <w:rPr/>
            </w:pPr>
            <w:r>
              <w:rPr/>
              <w:t>Trading securities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13,064,956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14,446,867</w:t>
            </w:r>
          </w:p>
        </w:tc>
        <w:tc>
          <w:tcPr>
            <w:tcW w:w="75" w:type="dxa"/>
            <w:tcBorders/>
            <w:shd w:fill="CCEEFF" w:val="clear"/>
            <w:vAlign w:val="center"/>
          </w:tcPr>
          <w:p>
            <w:pPr>
              <w:pStyle w:val="TableContents"/>
              <w:bidi w:val="0"/>
              <w:spacing w:before="0" w:after="283"/>
              <w:jc w:val="left"/>
              <w:rPr/>
            </w:pPr>
            <w:r>
              <w:rPr/>
              <w:t> </w:t>
            </w:r>
            <w:bookmarkStart w:id="545" w:name="xdx_400_eus-gaap--ShortTermInvestments_i"/>
            <w:bookmarkEnd w:id="545"/>
          </w:p>
        </w:tc>
      </w:tr>
      <w:tr>
        <w:trPr/>
        <w:tc>
          <w:tcPr>
            <w:tcW w:w="2960" w:type="dxa"/>
            <w:tcBorders/>
            <w:shd w:fill="FFFFFF" w:val="clear"/>
            <w:vAlign w:val="center"/>
          </w:tcPr>
          <w:p>
            <w:pPr>
              <w:pStyle w:val="TableContents"/>
              <w:bidi w:val="0"/>
              <w:spacing w:before="0" w:after="283"/>
              <w:jc w:val="left"/>
              <w:rPr/>
            </w:pPr>
            <w:r>
              <w:rPr/>
              <w:t>Held-to-maturity securities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3,833,259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4,233,204</w:t>
            </w:r>
          </w:p>
        </w:tc>
        <w:tc>
          <w:tcPr>
            <w:tcW w:w="75" w:type="dxa"/>
            <w:tcBorders/>
            <w:shd w:fill="FFFFFF" w:val="clear"/>
            <w:vAlign w:val="center"/>
          </w:tcPr>
          <w:p>
            <w:pPr>
              <w:pStyle w:val="TableContents"/>
              <w:bidi w:val="0"/>
              <w:spacing w:before="0" w:after="283"/>
              <w:jc w:val="left"/>
              <w:rPr/>
            </w:pPr>
            <w:r>
              <w:rPr/>
              <w:t> </w:t>
            </w:r>
            <w:bookmarkStart w:id="546" w:name="xdx_40B_eus-gaap--ShortTermInvestments_i"/>
            <w:bookmarkEnd w:id="546"/>
          </w:p>
        </w:tc>
      </w:tr>
      <w:tr>
        <w:trPr/>
        <w:tc>
          <w:tcPr>
            <w:tcW w:w="2960" w:type="dxa"/>
            <w:tcBorders/>
            <w:shd w:fill="CCEEFF" w:val="clear"/>
            <w:vAlign w:val="center"/>
          </w:tcPr>
          <w:p>
            <w:pPr>
              <w:pStyle w:val="TableContents"/>
              <w:bidi w:val="0"/>
              <w:spacing w:before="0" w:after="283"/>
              <w:jc w:val="left"/>
              <w:rPr>
                <w:b/>
              </w:rPr>
            </w:pPr>
            <w:r>
              <w:rPr>
                <w:b/>
              </w:rPr>
              <w:t>Total short-term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16,898,215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18,680,071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47" w:name="xdx_8AE_z8c7kA27ih2h"/>
      <w:bookmarkEnd w:id="5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held investments in three common stocks of $</w:t>
      </w:r>
      <w:bookmarkStart w:id="548" w:name="xdx_90D_eus-gaap--DebtInstrumentFairValu"/>
      <w:bookmarkEnd w:id="548"/>
      <w:r>
        <w:rPr>
          <w:rFonts w:ascii="Times New Roman;Times;Serif" w:hAnsi="Times New Roman;Times;Serif"/>
          <w:b w:val="false"/>
          <w:i w:val="false"/>
          <w:caps w:val="false"/>
          <w:smallCaps w:val="false"/>
          <w:sz w:val="20"/>
        </w:rPr>
        <w:t>1,978,219 that were publicly traded on the Hong Kong Stock Exchange and five bank wealth management products of $</w:t>
      </w:r>
      <w:bookmarkStart w:id="549" w:name="xdx_905_eus-gaap--DebtInstrumentFairValu"/>
      <w:bookmarkEnd w:id="549"/>
      <w:r>
        <w:rPr>
          <w:rFonts w:ascii="Times New Roman;Times;Serif" w:hAnsi="Times New Roman;Times;Serif"/>
          <w:b w:val="false"/>
          <w:i w:val="false"/>
          <w:caps w:val="false"/>
          <w:smallCaps w:val="false"/>
          <w:sz w:val="20"/>
        </w:rPr>
        <w:t>14,919,996. As of September 30, 2025, the Company held investments in three common stocks of $</w:t>
      </w:r>
      <w:bookmarkStart w:id="550" w:name="xdx_90E_eus-gaap--DebtInstrumentFairValu"/>
      <w:bookmarkEnd w:id="550"/>
      <w:r>
        <w:rPr>
          <w:rFonts w:ascii="Times New Roman;Times;Serif" w:hAnsi="Times New Roman;Times;Serif"/>
          <w:b w:val="false"/>
          <w:i w:val="false"/>
          <w:caps w:val="false"/>
          <w:smallCaps w:val="false"/>
          <w:sz w:val="20"/>
        </w:rPr>
        <w:t>3,098,972 that were publicly traded on the Hong Kong Stock Exchange and three bank wealth management products of $</w:t>
      </w:r>
      <w:bookmarkStart w:id="551" w:name="xdx_902_eus-gaap--DebtInstrumentFairValu"/>
      <w:bookmarkEnd w:id="551"/>
      <w:r>
        <w:rPr>
          <w:rFonts w:ascii="Times New Roman;Times;Serif" w:hAnsi="Times New Roman;Times;Serif"/>
          <w:b w:val="false"/>
          <w:i w:val="false"/>
          <w:caps w:val="false"/>
          <w:smallCaps w:val="false"/>
          <w:sz w:val="20"/>
        </w:rPr>
        <w:t>15,581,099.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52" w:name="xdx_891_eus-gaap--InvestmentIncomeTextBl"/>
      <w:bookmarkEnd w:id="552"/>
      <w:r>
        <w:rPr>
          <w:rFonts w:ascii="Times New Roman;Times;Serif" w:hAnsi="Times New Roman;Times;Serif"/>
          <w:b w:val="false"/>
          <w:i w:val="false"/>
          <w:caps w:val="false"/>
          <w:smallCaps w:val="false"/>
          <w:sz w:val="20"/>
        </w:rPr>
        <w:t>Net investment (loss) gain for the six months ended March 31, 2026 and 2025 consists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53" w:name="xdx_8BD_zztpXBCJ6bG3"/>
      <w:bookmarkEnd w:id="553"/>
      <w:r>
        <w:rPr>
          <w:rFonts w:ascii="Times New Roman;Times;Serif" w:hAnsi="Times New Roman;Times;Serif"/>
          <w:b w:val="false"/>
          <w:i w:val="false"/>
          <w:caps w:val="false"/>
          <w:smallCaps w:val="false"/>
          <w:sz w:val="20"/>
        </w:rPr>
        <w:t>SCHEDULE OF NET INVESTMENT INCOME </w:t>
      </w:r>
    </w:p>
    <w:tbl>
      <w:tblPr>
        <w:tblW w:w="9168" w:type="dxa"/>
        <w:jc w:val="left"/>
        <w:tblInd w:w="0" w:type="dxa"/>
        <w:tblLayout w:type="fixed"/>
        <w:tblCellMar>
          <w:top w:w="0" w:type="dxa"/>
          <w:left w:w="0" w:type="dxa"/>
          <w:bottom w:w="0" w:type="dxa"/>
          <w:right w:w="0" w:type="dxa"/>
        </w:tblCellMar>
      </w:tblPr>
      <w:tblGrid>
        <w:gridCol w:w="6380"/>
        <w:gridCol w:w="60"/>
        <w:gridCol w:w="146"/>
        <w:gridCol w:w="1103"/>
        <w:gridCol w:w="95"/>
        <w:gridCol w:w="60"/>
        <w:gridCol w:w="186"/>
        <w:gridCol w:w="1063"/>
        <w:gridCol w:w="75"/>
      </w:tblGrid>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4" w:name="xdx_493_20251001__20260331_zBCVk7D0Ov95"/>
            <w:bookmarkEnd w:id="554"/>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5" w:name="xdx_494_20241001__20250331_zqfnOLiGQsgi"/>
            <w:bookmarkEnd w:id="555"/>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556" w:name="xdx_40D_ecustom--IncomeLossFromSalesOfSh"/>
            <w:bookmarkEnd w:id="556"/>
          </w:p>
        </w:tc>
      </w:tr>
      <w:tr>
        <w:trPr/>
        <w:tc>
          <w:tcPr>
            <w:tcW w:w="6380" w:type="dxa"/>
            <w:tcBorders/>
            <w:shd w:fill="CCEEFF" w:val="clear"/>
            <w:vAlign w:val="center"/>
          </w:tcPr>
          <w:p>
            <w:pPr>
              <w:pStyle w:val="TableContents"/>
              <w:bidi w:val="0"/>
              <w:spacing w:before="0" w:after="283"/>
              <w:jc w:val="left"/>
              <w:rPr/>
            </w:pPr>
            <w:r>
              <w:rPr/>
              <w:t>Gain from redemption of wealth management products investments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57,574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119,262</w:t>
            </w:r>
          </w:p>
        </w:tc>
        <w:tc>
          <w:tcPr>
            <w:tcW w:w="75" w:type="dxa"/>
            <w:tcBorders/>
            <w:shd w:fill="CCEEFF" w:val="clear"/>
            <w:vAlign w:val="center"/>
          </w:tcPr>
          <w:p>
            <w:pPr>
              <w:pStyle w:val="TableContents"/>
              <w:bidi w:val="0"/>
              <w:spacing w:before="0" w:after="283"/>
              <w:jc w:val="left"/>
              <w:rPr/>
            </w:pPr>
            <w:r>
              <w:rPr/>
              <w:t> </w:t>
            </w:r>
            <w:bookmarkStart w:id="557" w:name="xdx_408_ecustom--UnrealizedGainFromWealt"/>
            <w:bookmarkEnd w:id="557"/>
          </w:p>
        </w:tc>
      </w:tr>
      <w:tr>
        <w:trPr/>
        <w:tc>
          <w:tcPr>
            <w:tcW w:w="6380" w:type="dxa"/>
            <w:tcBorders/>
            <w:shd w:fill="FFFFFF" w:val="clear"/>
            <w:vAlign w:val="center"/>
          </w:tcPr>
          <w:p>
            <w:pPr>
              <w:pStyle w:val="TableContents"/>
              <w:bidi w:val="0"/>
              <w:spacing w:before="0" w:after="283"/>
              <w:jc w:val="left"/>
              <w:rPr/>
            </w:pPr>
            <w:r>
              <w:rPr/>
              <w:t>Unrealized gain from wealth management products investments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65,810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58" w:name="xdx_409_eus-gaap--UnrealizedGainLossOnIn"/>
            <w:bookmarkEnd w:id="558"/>
          </w:p>
        </w:tc>
      </w:tr>
      <w:tr>
        <w:trPr/>
        <w:tc>
          <w:tcPr>
            <w:tcW w:w="6380" w:type="dxa"/>
            <w:tcBorders/>
            <w:shd w:fill="CCEEFF" w:val="clear"/>
            <w:vAlign w:val="center"/>
          </w:tcPr>
          <w:p>
            <w:pPr>
              <w:pStyle w:val="TableContents"/>
              <w:bidi w:val="0"/>
              <w:spacing w:before="0" w:after="283"/>
              <w:jc w:val="left"/>
              <w:rPr/>
            </w:pPr>
            <w:r>
              <w:rPr/>
              <w:t>Unrealized (loss) gain from common stocks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(1,187,556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706,891</w:t>
            </w:r>
          </w:p>
        </w:tc>
        <w:tc>
          <w:tcPr>
            <w:tcW w:w="75" w:type="dxa"/>
            <w:tcBorders/>
            <w:shd w:fill="CCEEFF" w:val="clear"/>
            <w:vAlign w:val="center"/>
          </w:tcPr>
          <w:p>
            <w:pPr>
              <w:pStyle w:val="TableContents"/>
              <w:bidi w:val="0"/>
              <w:spacing w:before="0" w:after="283"/>
              <w:jc w:val="left"/>
              <w:rPr/>
            </w:pPr>
            <w:r>
              <w:rPr/>
              <w:t> </w:t>
            </w:r>
            <w:bookmarkStart w:id="559" w:name="xdx_406_eus-gaap--InvestmentIncomeNet_iT"/>
            <w:bookmarkEnd w:id="559"/>
          </w:p>
        </w:tc>
      </w:tr>
      <w:tr>
        <w:trPr/>
        <w:tc>
          <w:tcPr>
            <w:tcW w:w="6380" w:type="dxa"/>
            <w:tcBorders/>
            <w:shd w:fill="FFFFFF" w:val="clear"/>
            <w:vAlign w:val="center"/>
          </w:tcPr>
          <w:p>
            <w:pPr>
              <w:pStyle w:val="TableContents"/>
              <w:bidi w:val="0"/>
              <w:spacing w:before="0" w:after="283"/>
              <w:jc w:val="left"/>
              <w:rPr>
                <w:b/>
              </w:rPr>
            </w:pPr>
            <w:r>
              <w:rPr>
                <w:b/>
              </w:rPr>
              <w:t>Net investment (loss) gain</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(1,064,172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826,153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60" w:name="xdx_8A2_zSpaEnZB4rIk"/>
      <w:bookmarkEnd w:id="5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1" w:name="xdx_806_eus-gaap--AccountsAndNontradeRec"/>
      <w:bookmarkEnd w:id="561"/>
      <w:r>
        <w:rPr>
          <w:rFonts w:ascii="Times New Roman;Times;Serif" w:hAnsi="Times New Roman;Times;Serif"/>
          <w:b/>
          <w:i w:val="false"/>
          <w:caps w:val="false"/>
          <w:smallCaps w:val="false"/>
          <w:sz w:val="20"/>
        </w:rPr>
        <w:t xml:space="preserve">NOTE 4 – </w:t>
      </w:r>
      <w:bookmarkStart w:id="562" w:name="xdx_824_zQmcu7abyW8h"/>
      <w:bookmarkEnd w:id="562"/>
      <w:r>
        <w:rPr>
          <w:rFonts w:ascii="Times New Roman;Times;Serif" w:hAnsi="Times New Roman;Times;Serif"/>
          <w:b/>
          <w:i w:val="false"/>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3" w:name="xdx_891_eus-gaap--AccountsReceivableAllo"/>
      <w:bookmarkEnd w:id="563"/>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hanging="0"/>
        <w:jc w:val="both"/>
        <w:rPr>
          <w:caps w:val="false"/>
          <w:smallCaps w:val="false"/>
        </w:rPr>
      </w:pPr>
      <w:r>
        <w:rPr>
          <w:caps w:val="false"/>
          <w:smallCaps w:val="false"/>
        </w:rPr>
        <w:t> </w:t>
      </w:r>
      <w:bookmarkStart w:id="564" w:name="xdx_8BC_z9o6VWBdFWUd"/>
      <w:bookmarkEnd w:id="564"/>
      <w:r>
        <w:rPr>
          <w:rFonts w:ascii="Times New Roman;Times;Serif" w:hAnsi="Times New Roman;Times;Serif"/>
          <w:b w:val="false"/>
          <w:i w:val="false"/>
          <w:caps w:val="false"/>
          <w:smallCaps w:val="false"/>
          <w:sz w:val="20"/>
        </w:rPr>
        <w:t>SCHEDULE OF ACCOUNTS RECEIVABLE</w:t>
      </w:r>
    </w:p>
    <w:tbl>
      <w:tblPr>
        <w:tblW w:w="6794" w:type="dxa"/>
        <w:jc w:val="left"/>
        <w:tblInd w:w="0" w:type="dxa"/>
        <w:tblLayout w:type="fixed"/>
        <w:tblCellMar>
          <w:top w:w="0" w:type="dxa"/>
          <w:left w:w="0" w:type="dxa"/>
          <w:bottom w:w="0" w:type="dxa"/>
          <w:right w:w="0" w:type="dxa"/>
        </w:tblCellMar>
      </w:tblPr>
      <w:tblGrid>
        <w:gridCol w:w="3980"/>
        <w:gridCol w:w="60"/>
        <w:gridCol w:w="141"/>
        <w:gridCol w:w="1108"/>
        <w:gridCol w:w="95"/>
        <w:gridCol w:w="60"/>
        <w:gridCol w:w="140"/>
        <w:gridCol w:w="1100"/>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5_20260331_zmmXDzSGabzg"/>
            <w:bookmarkEnd w:id="565"/>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6" w:name="xdx_49C_20250930_zHYSPZjMY1u4"/>
            <w:bookmarkEnd w:id="566"/>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567" w:name="xdx_405_eus-gaap--AccountsReceivableGros"/>
            <w:bookmarkEnd w:id="567"/>
          </w:p>
        </w:tc>
      </w:tr>
      <w:tr>
        <w:trPr/>
        <w:tc>
          <w:tcPr>
            <w:tcW w:w="3980" w:type="dxa"/>
            <w:tcBorders/>
            <w:shd w:fill="CCEEFF" w:val="clear"/>
            <w:vAlign w:val="center"/>
          </w:tcPr>
          <w:p>
            <w:pPr>
              <w:pStyle w:val="TableContents"/>
              <w:bidi w:val="0"/>
              <w:spacing w:before="0" w:after="283"/>
              <w:jc w:val="left"/>
              <w:rPr/>
            </w:pPr>
            <w:r>
              <w:rPr/>
              <w:t>Trade accounts receivable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26,337,418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23,403,393</w:t>
            </w:r>
          </w:p>
        </w:tc>
        <w:tc>
          <w:tcPr>
            <w:tcW w:w="110" w:type="dxa"/>
            <w:tcBorders/>
            <w:shd w:fill="CCEEFF" w:val="clear"/>
            <w:vAlign w:val="center"/>
          </w:tcPr>
          <w:p>
            <w:pPr>
              <w:pStyle w:val="TableContents"/>
              <w:bidi w:val="0"/>
              <w:spacing w:before="0" w:after="283"/>
              <w:jc w:val="left"/>
              <w:rPr/>
            </w:pPr>
            <w:r>
              <w:rPr/>
              <w:t> </w:t>
            </w:r>
            <w:bookmarkStart w:id="568" w:name="xdx_406_eus-gaap--AllowanceForDoubtfulAc"/>
            <w:bookmarkEnd w:id="568"/>
          </w:p>
        </w:tc>
      </w:tr>
      <w:tr>
        <w:trPr/>
        <w:tc>
          <w:tcPr>
            <w:tcW w:w="3980" w:type="dxa"/>
            <w:tcBorders/>
            <w:shd w:fill="FFFFFF" w:val="clear"/>
            <w:vAlign w:val="center"/>
          </w:tcPr>
          <w:p>
            <w:pPr>
              <w:pStyle w:val="TableContents"/>
              <w:bidi w:val="0"/>
              <w:spacing w:before="0" w:after="283"/>
              <w:jc w:val="left"/>
              <w:rPr/>
            </w:pPr>
            <w:r>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(4,986,337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(3,768,902</w:t>
            </w:r>
          </w:p>
        </w:tc>
        <w:tc>
          <w:tcPr>
            <w:tcW w:w="110" w:type="dxa"/>
            <w:tcBorders/>
            <w:shd w:fill="FFFFFF" w:val="clear"/>
            <w:vAlign w:val="center"/>
          </w:tcPr>
          <w:p>
            <w:pPr>
              <w:pStyle w:val="TableContents"/>
              <w:bidi w:val="0"/>
              <w:spacing w:before="0" w:after="283"/>
              <w:jc w:val="left"/>
              <w:rPr/>
            </w:pPr>
            <w:r>
              <w:rPr/>
              <w:t>)</w:t>
            </w:r>
            <w:bookmarkStart w:id="569" w:name="xdx_403_eus-gaap--AccountsReceivableNet_"/>
            <w:bookmarkEnd w:id="569"/>
          </w:p>
        </w:tc>
      </w:tr>
      <w:tr>
        <w:trPr/>
        <w:tc>
          <w:tcPr>
            <w:tcW w:w="3980" w:type="dxa"/>
            <w:tcBorders/>
            <w:shd w:fill="CCEEFF" w:val="clear"/>
            <w:vAlign w:val="center"/>
          </w:tcPr>
          <w:p>
            <w:pPr>
              <w:pStyle w:val="TableContents"/>
              <w:bidi w:val="0"/>
              <w:spacing w:before="0" w:after="283"/>
              <w:jc w:val="left"/>
              <w:rPr>
                <w:b/>
              </w:rPr>
            </w:pPr>
            <w:r>
              <w:rPr>
                <w:b/>
              </w:rPr>
              <w:t>Accounts receivable, net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21,351,081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19,634,491</w:t>
            </w:r>
          </w:p>
        </w:tc>
        <w:tc>
          <w:tcPr>
            <w:tcW w:w="110" w:type="dxa"/>
            <w:tcBorders/>
            <w:shd w:fill="CCEEFF" w:val="clear"/>
            <w:vAlign w:val="center"/>
          </w:tcPr>
          <w:p>
            <w:pPr>
              <w:pStyle w:val="TableContents"/>
              <w:bidi w:val="0"/>
              <w:spacing w:before="0" w:after="283"/>
              <w:jc w:val="left"/>
              <w:rPr/>
            </w:pPr>
            <w:r>
              <w:rPr/>
              <w:t> </w:t>
            </w:r>
            <w:bookmarkStart w:id="570" w:name="xdx_404_eus-gaap--AccountsReceivableNetC"/>
            <w:bookmarkEnd w:id="570"/>
          </w:p>
        </w:tc>
      </w:tr>
      <w:tr>
        <w:trPr/>
        <w:tc>
          <w:tcPr>
            <w:tcW w:w="3980" w:type="dxa"/>
            <w:tcBorders/>
            <w:shd w:fill="FFFFFF" w:val="clear"/>
            <w:vAlign w:val="center"/>
          </w:tcPr>
          <w:p>
            <w:pPr>
              <w:pStyle w:val="TableContents"/>
              <w:bidi w:val="0"/>
              <w:spacing w:before="0" w:after="283"/>
              <w:jc w:val="left"/>
              <w:rPr/>
            </w:pPr>
            <w:r>
              <w:rPr/>
              <w:t>Current portion</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FFFFFF" w:val="clear"/>
            <w:tcMar>
              <w:bottom w:w="28" w:type="dxa"/>
            </w:tcMar>
            <w:vAlign w:val="center"/>
          </w:tcPr>
          <w:p>
            <w:pPr>
              <w:pStyle w:val="TableContents"/>
              <w:bidi w:val="0"/>
              <w:spacing w:before="0" w:after="283"/>
              <w:jc w:val="right"/>
              <w:rPr/>
            </w:pPr>
            <w:r>
              <w:rPr/>
              <w:t>18,011,916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15,327,945</w:t>
            </w:r>
          </w:p>
        </w:tc>
        <w:tc>
          <w:tcPr>
            <w:tcW w:w="110" w:type="dxa"/>
            <w:tcBorders/>
            <w:shd w:fill="FFFFFF" w:val="clear"/>
            <w:vAlign w:val="center"/>
          </w:tcPr>
          <w:p>
            <w:pPr>
              <w:pStyle w:val="TableContents"/>
              <w:bidi w:val="0"/>
              <w:spacing w:before="0" w:after="283"/>
              <w:jc w:val="left"/>
              <w:rPr/>
            </w:pPr>
            <w:r>
              <w:rPr/>
              <w:t> </w:t>
            </w:r>
            <w:bookmarkStart w:id="571" w:name="xdx_401_eus-gaap--AccountsReceivableNetN"/>
            <w:bookmarkEnd w:id="571"/>
          </w:p>
        </w:tc>
      </w:tr>
      <w:tr>
        <w:trPr/>
        <w:tc>
          <w:tcPr>
            <w:tcW w:w="398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3,339,165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4,306,546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6_zMUzQeNZipqd"/>
      <w:bookmarkEnd w:id="5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non-current portion represents trade receivables to be collected beyond one year due to the payment terms negotiated between the Company and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3" w:name="xdx_89C_eus-gaap--SummaryOfValuationAllo"/>
      <w:bookmarkEnd w:id="573"/>
      <w:r>
        <w:rPr>
          <w:rFonts w:ascii="Times New Roman;Times;Serif" w:hAnsi="Times New Roman;Times;Serif"/>
          <w:b w:val="false"/>
          <w:i w:val="false"/>
          <w:caps w:val="false"/>
          <w:smallCaps w:val="false"/>
          <w:sz w:val="20"/>
        </w:rPr>
        <w:t>The movement of allowance of for expected credit losses for the six months ended March 31, 2026 and 2025 was as follows:</w:t>
      </w:r>
    </w:p>
    <w:p>
      <w:pPr>
        <w:pStyle w:val="TextBody"/>
        <w:bidi w:val="0"/>
        <w:spacing w:before="0" w:after="0"/>
        <w:ind w:left="0" w:right="0" w:hanging="0"/>
        <w:jc w:val="both"/>
        <w:rPr>
          <w:caps w:val="false"/>
          <w:smallCaps w:val="false"/>
        </w:rPr>
      </w:pPr>
      <w:r>
        <w:rPr>
          <w:caps w:val="false"/>
          <w:smallCaps w:val="false"/>
        </w:rPr>
        <w:t> </w:t>
      </w:r>
      <w:bookmarkStart w:id="574" w:name="xdx_8BF_zRKTAdA3aab5"/>
      <w:bookmarkEnd w:id="574"/>
      <w:r>
        <w:rPr>
          <w:rFonts w:ascii="Times New Roman;Times;Serif" w:hAnsi="Times New Roman;Times;Serif"/>
          <w:b w:val="false"/>
          <w:i w:val="false"/>
          <w:caps w:val="false"/>
          <w:smallCaps w:val="false"/>
          <w:sz w:val="20"/>
        </w:rPr>
        <w:t>SCHEDULE OF ALLOWANCE FOR EXPECTED CREDIT LOSSES</w:t>
      </w:r>
    </w:p>
    <w:tbl>
      <w:tblPr>
        <w:tblW w:w="6348" w:type="dxa"/>
        <w:jc w:val="left"/>
        <w:tblInd w:w="0" w:type="dxa"/>
        <w:tblLayout w:type="fixed"/>
        <w:tblCellMar>
          <w:top w:w="0" w:type="dxa"/>
          <w:left w:w="0" w:type="dxa"/>
          <w:bottom w:w="0" w:type="dxa"/>
          <w:right w:w="0" w:type="dxa"/>
        </w:tblCellMar>
      </w:tblPr>
      <w:tblGrid>
        <w:gridCol w:w="3560"/>
        <w:gridCol w:w="60"/>
        <w:gridCol w:w="155"/>
        <w:gridCol w:w="1094"/>
        <w:gridCol w:w="60"/>
        <w:gridCol w:w="60"/>
        <w:gridCol w:w="155"/>
        <w:gridCol w:w="1094"/>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5" w:name="xdx_498_20251001__20260331_zBV3oamb4WU6"/>
            <w:bookmarkEnd w:id="575"/>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6" w:name="xdx_49F_20241001__20250331_zTHaO0wJvUc8"/>
            <w:bookmarkEnd w:id="576"/>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577" w:name="xdx_40F_eus-gaap--AllowanceForDoubtfulAc"/>
            <w:bookmarkEnd w:id="577"/>
          </w:p>
        </w:tc>
      </w:tr>
      <w:tr>
        <w:trPr/>
        <w:tc>
          <w:tcPr>
            <w:tcW w:w="3560" w:type="dxa"/>
            <w:tcBorders/>
            <w:shd w:fill="CCEEFF" w:val="clear"/>
            <w:vAlign w:val="center"/>
          </w:tcPr>
          <w:p>
            <w:pPr>
              <w:pStyle w:val="TableContents"/>
              <w:bidi w:val="0"/>
              <w:spacing w:before="0" w:after="283"/>
              <w:jc w:val="left"/>
              <w:rPr>
                <w:b/>
              </w:rPr>
            </w:pPr>
            <w:r>
              <w:rPr>
                <w:b/>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3,768,902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2,393,968</w:t>
            </w:r>
          </w:p>
        </w:tc>
        <w:tc>
          <w:tcPr>
            <w:tcW w:w="110" w:type="dxa"/>
            <w:tcBorders/>
            <w:shd w:fill="CCEEFF" w:val="clear"/>
            <w:vAlign w:val="center"/>
          </w:tcPr>
          <w:p>
            <w:pPr>
              <w:pStyle w:val="TableContents"/>
              <w:bidi w:val="0"/>
              <w:spacing w:before="0" w:after="283"/>
              <w:jc w:val="left"/>
              <w:rPr/>
            </w:pPr>
            <w:r>
              <w:rPr/>
              <w:t> </w:t>
            </w:r>
            <w:bookmarkStart w:id="578" w:name="xdx_40F_ecustom--CurrentYearAddition_zmD"/>
            <w:bookmarkEnd w:id="578"/>
          </w:p>
        </w:tc>
      </w:tr>
      <w:tr>
        <w:trPr/>
        <w:tc>
          <w:tcPr>
            <w:tcW w:w="3560" w:type="dxa"/>
            <w:tcBorders/>
            <w:shd w:fill="FFFFFF" w:val="clear"/>
            <w:vAlign w:val="center"/>
          </w:tcPr>
          <w:p>
            <w:pPr>
              <w:pStyle w:val="TableContents"/>
              <w:bidi w:val="0"/>
              <w:spacing w:before="0" w:after="283"/>
              <w:jc w:val="left"/>
              <w:rPr/>
            </w:pPr>
            <w:r>
              <w:rPr/>
              <w:t>Addition during the six-month period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1,100,734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1,626,922</w:t>
            </w:r>
          </w:p>
        </w:tc>
        <w:tc>
          <w:tcPr>
            <w:tcW w:w="110" w:type="dxa"/>
            <w:tcBorders/>
            <w:shd w:fill="FFFFFF" w:val="clear"/>
            <w:vAlign w:val="center"/>
          </w:tcPr>
          <w:p>
            <w:pPr>
              <w:pStyle w:val="TableContents"/>
              <w:bidi w:val="0"/>
              <w:spacing w:before="0" w:after="283"/>
              <w:jc w:val="left"/>
              <w:rPr/>
            </w:pPr>
            <w:r>
              <w:rPr/>
              <w:t> </w:t>
            </w:r>
            <w:bookmarkStart w:id="579" w:name="xdx_402_ecustom--ExchangeDifferences_zb6"/>
            <w:bookmarkEnd w:id="579"/>
          </w:p>
        </w:tc>
      </w:tr>
      <w:tr>
        <w:trPr/>
        <w:tc>
          <w:tcPr>
            <w:tcW w:w="356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116,701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(56,962</w:t>
            </w:r>
          </w:p>
        </w:tc>
        <w:tc>
          <w:tcPr>
            <w:tcW w:w="110" w:type="dxa"/>
            <w:tcBorders/>
            <w:shd w:fill="CCEEFF" w:val="clear"/>
            <w:vAlign w:val="center"/>
          </w:tcPr>
          <w:p>
            <w:pPr>
              <w:pStyle w:val="TableContents"/>
              <w:bidi w:val="0"/>
              <w:spacing w:before="0" w:after="283"/>
              <w:jc w:val="left"/>
              <w:rPr/>
            </w:pPr>
            <w:r>
              <w:rPr/>
              <w:t>)</w:t>
            </w:r>
            <w:bookmarkStart w:id="580" w:name="xdx_407_eus-gaap--AllowanceForDoubtfulAc"/>
            <w:bookmarkEnd w:id="580"/>
          </w:p>
        </w:tc>
      </w:tr>
      <w:tr>
        <w:trPr/>
        <w:tc>
          <w:tcPr>
            <w:tcW w:w="3560" w:type="dxa"/>
            <w:tcBorders/>
            <w:shd w:fill="FFFFFF" w:val="clear"/>
            <w:vAlign w:val="center"/>
          </w:tcPr>
          <w:p>
            <w:pPr>
              <w:pStyle w:val="TableContents"/>
              <w:bidi w:val="0"/>
              <w:spacing w:before="0" w:after="283"/>
              <w:jc w:val="left"/>
              <w:rPr>
                <w:b/>
              </w:rPr>
            </w:pPr>
            <w:r>
              <w:rPr>
                <w:b/>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4,986,337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3,963,928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1" w:name="xdx_8A5_zPxfjy7rdjKc"/>
      <w:bookmarkEnd w:id="58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2" w:name="xdx_80C_eus-gaap--LoansNotesTradeAndOthe"/>
      <w:bookmarkEnd w:id="582"/>
      <w:r>
        <w:rPr>
          <w:rFonts w:ascii="Times New Roman;Times;Serif" w:hAnsi="Times New Roman;Times;Serif"/>
          <w:b/>
          <w:i w:val="false"/>
          <w:caps w:val="false"/>
          <w:smallCaps w:val="false"/>
          <w:sz w:val="20"/>
        </w:rPr>
        <w:t>NOTE 5 –</w:t>
      </w:r>
      <w:bookmarkStart w:id="583" w:name="xdx_827_zLXRgZYn73m7"/>
      <w:bookmarkEnd w:id="583"/>
      <w:r>
        <w:rPr>
          <w:rFonts w:ascii="Times New Roman;Times;Serif" w:hAnsi="Times New Roman;Times;Serif"/>
          <w:b/>
          <w:i w:val="false"/>
          <w:caps w:val="false"/>
          <w:smallCaps w:val="false"/>
          <w:sz w:val="20"/>
        </w:rPr>
        <w:t>NOTES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receivable are trade accounts receivable due from customers where the customers’ banks guaranteed the payments, which are non-interest bearing and generally range from three to six months from the date of issuance. As of March 31, 2026 and September 30, 2025, no notes were guaranteed or collateralized. The balance of $</w:t>
      </w:r>
      <w:bookmarkStart w:id="584" w:name="xdx_907_eus-gaap--ProceedsFromCollection"/>
      <w:bookmarkEnd w:id="584"/>
      <w:r>
        <w:rPr>
          <w:rFonts w:ascii="Times New Roman;Times;Serif" w:hAnsi="Times New Roman;Times;Serif"/>
          <w:b w:val="false"/>
          <w:i w:val="false"/>
          <w:caps w:val="false"/>
          <w:smallCaps w:val="false"/>
          <w:sz w:val="20"/>
        </w:rPr>
        <w:t>275,889 as of March 31, 2026 was fully collected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5" w:name="xdx_808_ecustom--AdvanceToSuppliersTextB"/>
      <w:bookmarkEnd w:id="585"/>
      <w:r>
        <w:rPr>
          <w:rFonts w:ascii="Times New Roman;Times;Serif" w:hAnsi="Times New Roman;Times;Serif"/>
          <w:b/>
          <w:i w:val="false"/>
          <w:caps w:val="false"/>
          <w:smallCaps w:val="false"/>
          <w:sz w:val="20"/>
        </w:rPr>
        <w:t xml:space="preserve">NOTE 6 – </w:t>
      </w:r>
      <w:bookmarkStart w:id="586" w:name="xdx_824_zPy1DtRGI93k"/>
      <w:bookmarkEnd w:id="586"/>
      <w:r>
        <w:rPr>
          <w:rFonts w:ascii="Times New Roman;Times;Serif" w:hAnsi="Times New Roman;Times;Serif"/>
          <w:b/>
          <w:i w:val="false"/>
          <w:caps w:val="false"/>
          <w:smallCaps w:val="false"/>
          <w:sz w:val="20"/>
        </w:rPr>
        <w:t>ADVANCE TO SUPPLIERS,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7" w:name="xdx_893_ecustom--AdvanceToSuppliersTable"/>
      <w:bookmarkEnd w:id="587"/>
      <w:r>
        <w:rPr>
          <w:rFonts w:ascii="Times New Roman;Times;Serif" w:hAnsi="Times New Roman;Times;Serif"/>
          <w:b w:val="false"/>
          <w:i w:val="false"/>
          <w:caps w:val="false"/>
          <w:smallCaps w:val="false"/>
          <w:sz w:val="20"/>
        </w:rPr>
        <w:t>Advance to suppliers, net consisted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BE_znDiwa0AX9j5"/>
      <w:bookmarkEnd w:id="588"/>
      <w:r>
        <w:rPr>
          <w:rFonts w:ascii="Times New Roman;Times;Serif" w:hAnsi="Times New Roman;Times;Serif"/>
          <w:b w:val="false"/>
          <w:i w:val="false"/>
          <w:caps w:val="false"/>
          <w:smallCaps w:val="false"/>
          <w:sz w:val="20"/>
        </w:rPr>
        <w:t>SCHEDULE OF ADVANCE TO SUPPLIERS, NET</w:t>
      </w:r>
    </w:p>
    <w:tbl>
      <w:tblPr>
        <w:tblW w:w="7778" w:type="dxa"/>
        <w:jc w:val="left"/>
        <w:tblInd w:w="0" w:type="dxa"/>
        <w:tblLayout w:type="fixed"/>
        <w:tblCellMar>
          <w:top w:w="0" w:type="dxa"/>
          <w:left w:w="0" w:type="dxa"/>
          <w:bottom w:w="0" w:type="dxa"/>
          <w:right w:w="0" w:type="dxa"/>
        </w:tblCellMar>
      </w:tblPr>
      <w:tblGrid>
        <w:gridCol w:w="4985"/>
        <w:gridCol w:w="60"/>
        <w:gridCol w:w="146"/>
        <w:gridCol w:w="1103"/>
        <w:gridCol w:w="95"/>
        <w:gridCol w:w="60"/>
        <w:gridCol w:w="142"/>
        <w:gridCol w:w="1077"/>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9" w:name="xdx_49C_20260331_zH2rMi8MUFrj"/>
            <w:bookmarkEnd w:id="589"/>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0" w:name="xdx_499_20250930_ziFCFJDGvQi4"/>
            <w:bookmarkEnd w:id="590"/>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591" w:name="xdx_403_ecustom--AdvanceForProductsAndSe"/>
            <w:bookmarkEnd w:id="591"/>
          </w:p>
        </w:tc>
      </w:tr>
      <w:tr>
        <w:trPr/>
        <w:tc>
          <w:tcPr>
            <w:tcW w:w="4985" w:type="dxa"/>
            <w:tcBorders/>
            <w:shd w:fill="CCEEFF" w:val="clear"/>
            <w:vAlign w:val="center"/>
          </w:tcPr>
          <w:p>
            <w:pPr>
              <w:pStyle w:val="TableContents"/>
              <w:bidi w:val="0"/>
              <w:spacing w:before="0" w:after="283"/>
              <w:jc w:val="left"/>
              <w:rPr/>
            </w:pPr>
            <w:r>
              <w:rPr/>
              <w:t>Advance for products and services from third parties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8,606,539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7,728,834</w:t>
            </w:r>
          </w:p>
        </w:tc>
        <w:tc>
          <w:tcPr>
            <w:tcW w:w="110" w:type="dxa"/>
            <w:tcBorders/>
            <w:shd w:fill="CCEEFF" w:val="clear"/>
            <w:vAlign w:val="center"/>
          </w:tcPr>
          <w:p>
            <w:pPr>
              <w:pStyle w:val="TableContents"/>
              <w:bidi w:val="0"/>
              <w:spacing w:before="0" w:after="283"/>
              <w:jc w:val="left"/>
              <w:rPr/>
            </w:pPr>
            <w:r>
              <w:rPr/>
              <w:t> </w:t>
            </w:r>
            <w:bookmarkStart w:id="592" w:name="xdx_403_ecustom--AllowanceForExpectedCre"/>
            <w:bookmarkEnd w:id="592"/>
          </w:p>
        </w:tc>
      </w:tr>
      <w:tr>
        <w:trPr/>
        <w:tc>
          <w:tcPr>
            <w:tcW w:w="4985" w:type="dxa"/>
            <w:tcBorders/>
            <w:shd w:fill="FFFFFF" w:val="clear"/>
            <w:vAlign w:val="center"/>
          </w:tcPr>
          <w:p>
            <w:pPr>
              <w:pStyle w:val="TableContents"/>
              <w:bidi w:val="0"/>
              <w:spacing w:before="0" w:after="283"/>
              <w:jc w:val="left"/>
              <w:rPr/>
            </w:pPr>
            <w:r>
              <w:rPr/>
              <w:t>Less: allowance for expected credit losses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(4,496,482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(3,196,567</w:t>
            </w:r>
          </w:p>
        </w:tc>
        <w:tc>
          <w:tcPr>
            <w:tcW w:w="110" w:type="dxa"/>
            <w:tcBorders/>
            <w:shd w:fill="FFFFFF" w:val="clear"/>
            <w:vAlign w:val="center"/>
          </w:tcPr>
          <w:p>
            <w:pPr>
              <w:pStyle w:val="TableContents"/>
              <w:bidi w:val="0"/>
              <w:spacing w:before="0" w:after="283"/>
              <w:jc w:val="left"/>
              <w:rPr/>
            </w:pPr>
            <w:r>
              <w:rPr/>
              <w:t>)</w:t>
            </w:r>
            <w:bookmarkStart w:id="593" w:name="xdx_405_ecustom--AdvanceToSuppliersNet_i"/>
            <w:bookmarkEnd w:id="593"/>
          </w:p>
        </w:tc>
      </w:tr>
      <w:tr>
        <w:trPr/>
        <w:tc>
          <w:tcPr>
            <w:tcW w:w="4985" w:type="dxa"/>
            <w:tcBorders/>
            <w:shd w:fill="CCEEFF" w:val="clear"/>
            <w:vAlign w:val="center"/>
          </w:tcPr>
          <w:p>
            <w:pPr>
              <w:pStyle w:val="TableContents"/>
              <w:bidi w:val="0"/>
              <w:spacing w:before="0" w:after="283"/>
              <w:jc w:val="left"/>
              <w:rPr/>
            </w:pPr>
            <w:r>
              <w:rPr/>
              <w:t>Advance to suppliers,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4,110,057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4,532,267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94" w:name="xdx_8A4_zq5tFJHMt0df"/>
      <w:bookmarkEnd w:id="5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5" w:name="xdx_894_ecustom--AdvanceToSuppliersAllow"/>
      <w:bookmarkEnd w:id="595"/>
      <w:r>
        <w:rPr>
          <w:rFonts w:ascii="Times New Roman;Times;Serif" w:hAnsi="Times New Roman;Times;Serif"/>
          <w:b w:val="false"/>
          <w:i w:val="false"/>
          <w:caps w:val="false"/>
          <w:smallCaps w:val="false"/>
          <w:sz w:val="20"/>
        </w:rPr>
        <w:t>The movement of allowance for credit losses for the six months ended March 31, 2026 and 2025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6" w:name="xdx_8B3_zd1V5BvyPxp3"/>
      <w:bookmarkEnd w:id="596"/>
      <w:r>
        <w:rPr>
          <w:rFonts w:ascii="Times New Roman;Times;Serif" w:hAnsi="Times New Roman;Times;Serif"/>
          <w:b w:val="false"/>
          <w:i w:val="false"/>
          <w:caps w:val="false"/>
          <w:smallCaps w:val="false"/>
          <w:sz w:val="20"/>
        </w:rPr>
        <w:t>SCHEDULE OF MOVEMENT OF ALLOWANCE FOR CREDIT LOSS ADVANCE TO SUPPLIER</w:t>
      </w:r>
    </w:p>
    <w:tbl>
      <w:tblPr>
        <w:tblW w:w="6348" w:type="dxa"/>
        <w:jc w:val="left"/>
        <w:tblInd w:w="0" w:type="dxa"/>
        <w:tblLayout w:type="fixed"/>
        <w:tblCellMar>
          <w:top w:w="0" w:type="dxa"/>
          <w:left w:w="0" w:type="dxa"/>
          <w:bottom w:w="0" w:type="dxa"/>
          <w:right w:w="0" w:type="dxa"/>
        </w:tblCellMar>
      </w:tblPr>
      <w:tblGrid>
        <w:gridCol w:w="3560"/>
        <w:gridCol w:w="60"/>
        <w:gridCol w:w="155"/>
        <w:gridCol w:w="1094"/>
        <w:gridCol w:w="60"/>
        <w:gridCol w:w="60"/>
        <w:gridCol w:w="155"/>
        <w:gridCol w:w="1094"/>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7" w:name="xdx_49F_20251001__20260331_z2UDufks3KQ4"/>
            <w:bookmarkEnd w:id="59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8" w:name="xdx_490_20241001__20250331_zdPOOUgYz5U6"/>
            <w:bookmarkEnd w:id="59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599" w:name="xdx_407_ecustom--AllowanceForExpectedCre"/>
            <w:bookmarkEnd w:id="599"/>
          </w:p>
        </w:tc>
      </w:tr>
      <w:tr>
        <w:trPr/>
        <w:tc>
          <w:tcPr>
            <w:tcW w:w="3560" w:type="dxa"/>
            <w:tcBorders/>
            <w:shd w:fill="CCEEFF" w:val="clear"/>
            <w:vAlign w:val="center"/>
          </w:tcPr>
          <w:p>
            <w:pPr>
              <w:pStyle w:val="TableContents"/>
              <w:bidi w:val="0"/>
              <w:spacing w:before="0" w:after="283"/>
              <w:jc w:val="left"/>
              <w:rPr>
                <w:b/>
              </w:rPr>
            </w:pPr>
            <w:r>
              <w:rPr>
                <w:b/>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3,196,567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1,669,088</w:t>
            </w:r>
          </w:p>
        </w:tc>
        <w:tc>
          <w:tcPr>
            <w:tcW w:w="110" w:type="dxa"/>
            <w:tcBorders/>
            <w:shd w:fill="CCEEFF" w:val="clear"/>
            <w:vAlign w:val="center"/>
          </w:tcPr>
          <w:p>
            <w:pPr>
              <w:pStyle w:val="TableContents"/>
              <w:bidi w:val="0"/>
              <w:spacing w:before="0" w:after="283"/>
              <w:jc w:val="left"/>
              <w:rPr/>
            </w:pPr>
            <w:r>
              <w:rPr/>
              <w:t> </w:t>
            </w:r>
            <w:bookmarkStart w:id="600" w:name="xdx_402_ecustom--CurrentYearAdditionAdva"/>
            <w:bookmarkEnd w:id="600"/>
          </w:p>
        </w:tc>
      </w:tr>
      <w:tr>
        <w:trPr/>
        <w:tc>
          <w:tcPr>
            <w:tcW w:w="3560" w:type="dxa"/>
            <w:tcBorders/>
            <w:shd w:fill="FFFFFF" w:val="clear"/>
            <w:vAlign w:val="center"/>
          </w:tcPr>
          <w:p>
            <w:pPr>
              <w:pStyle w:val="TableContents"/>
              <w:bidi w:val="0"/>
              <w:spacing w:before="0" w:after="283"/>
              <w:jc w:val="left"/>
              <w:rPr/>
            </w:pPr>
            <w:r>
              <w:rPr/>
              <w:t>Addition during the six-month period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1,197,262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1,907,921</w:t>
            </w:r>
          </w:p>
        </w:tc>
        <w:tc>
          <w:tcPr>
            <w:tcW w:w="110" w:type="dxa"/>
            <w:tcBorders/>
            <w:shd w:fill="FFFFFF" w:val="clear"/>
            <w:vAlign w:val="center"/>
          </w:tcPr>
          <w:p>
            <w:pPr>
              <w:pStyle w:val="TableContents"/>
              <w:bidi w:val="0"/>
              <w:spacing w:before="0" w:after="283"/>
              <w:jc w:val="left"/>
              <w:rPr/>
            </w:pPr>
            <w:r>
              <w:rPr/>
              <w:t> </w:t>
            </w:r>
            <w:bookmarkStart w:id="601" w:name="xdx_40E_ecustom--ExchangeDifferenceAdvan"/>
            <w:bookmarkEnd w:id="601"/>
          </w:p>
        </w:tc>
      </w:tr>
      <w:tr>
        <w:trPr/>
        <w:tc>
          <w:tcPr>
            <w:tcW w:w="356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102,653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(39,715</w:t>
            </w:r>
          </w:p>
        </w:tc>
        <w:tc>
          <w:tcPr>
            <w:tcW w:w="110" w:type="dxa"/>
            <w:tcBorders/>
            <w:shd w:fill="CCEEFF" w:val="clear"/>
            <w:vAlign w:val="center"/>
          </w:tcPr>
          <w:p>
            <w:pPr>
              <w:pStyle w:val="TableContents"/>
              <w:bidi w:val="0"/>
              <w:spacing w:before="0" w:after="283"/>
              <w:jc w:val="left"/>
              <w:rPr/>
            </w:pPr>
            <w:r>
              <w:rPr/>
              <w:t>)</w:t>
            </w:r>
            <w:bookmarkStart w:id="602" w:name="xdx_405_ecustom--AllowanceForExpectedCre"/>
            <w:bookmarkEnd w:id="602"/>
          </w:p>
        </w:tc>
      </w:tr>
      <w:tr>
        <w:trPr/>
        <w:tc>
          <w:tcPr>
            <w:tcW w:w="3560" w:type="dxa"/>
            <w:tcBorders/>
            <w:shd w:fill="FFFFFF" w:val="clear"/>
            <w:vAlign w:val="center"/>
          </w:tcPr>
          <w:p>
            <w:pPr>
              <w:pStyle w:val="TableContents"/>
              <w:bidi w:val="0"/>
              <w:spacing w:before="0" w:after="283"/>
              <w:jc w:val="left"/>
              <w:rPr>
                <w:b/>
              </w:rPr>
            </w:pPr>
            <w:r>
              <w:rPr>
                <w:b/>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4,496,482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3,537,294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03" w:name="xdx_8A1_zRKtHN2mowB3"/>
      <w:bookmarkEnd w:id="60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4" w:name="xdx_80A_eus-gaap--InventoryDisclosureTex"/>
      <w:bookmarkEnd w:id="604"/>
      <w:r>
        <w:rPr>
          <w:rFonts w:ascii="Times New Roman;Times;Serif" w:hAnsi="Times New Roman;Times;Serif"/>
          <w:b/>
          <w:i w:val="false"/>
          <w:caps w:val="false"/>
          <w:smallCaps w:val="false"/>
          <w:sz w:val="20"/>
        </w:rPr>
        <w:t xml:space="preserve">NOTE 7 – </w:t>
      </w:r>
      <w:bookmarkStart w:id="605" w:name="xdx_82C_zqYN3P0O0Ule"/>
      <w:bookmarkEnd w:id="605"/>
      <w:r>
        <w:rPr>
          <w:rFonts w:ascii="Times New Roman;Times;Serif" w:hAnsi="Times New Roman;Times;Serif"/>
          <w:b/>
          <w:i w:val="false"/>
          <w:caps w:val="false"/>
          <w:smallCaps w:val="false"/>
          <w:sz w:val="20"/>
        </w:rPr>
        <w:t>INVENTORIES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6" w:name="xdx_893_eus-gaap--ScheduleOfInventoryCur"/>
      <w:bookmarkEnd w:id="606"/>
      <w:r>
        <w:rPr>
          <w:rFonts w:ascii="Times New Roman;Times;Serif" w:hAnsi="Times New Roman;Times;Serif"/>
          <w:b w:val="false"/>
          <w:i w:val="false"/>
          <w:caps w:val="false"/>
          <w:smallCaps w:val="false"/>
          <w:sz w:val="20"/>
        </w:rPr>
        <w:t>Inventories consist of the following:</w:t>
      </w:r>
    </w:p>
    <w:p>
      <w:pPr>
        <w:pStyle w:val="TextBody"/>
        <w:bidi w:val="0"/>
        <w:spacing w:before="0" w:after="0"/>
        <w:ind w:left="0" w:right="0" w:hanging="0"/>
        <w:jc w:val="both"/>
        <w:rPr>
          <w:caps w:val="false"/>
          <w:smallCaps w:val="false"/>
        </w:rPr>
      </w:pPr>
      <w:r>
        <w:rPr>
          <w:caps w:val="false"/>
          <w:smallCaps w:val="false"/>
        </w:rPr>
        <w:t> </w:t>
      </w:r>
      <w:bookmarkStart w:id="607" w:name="xdx_8BF_zlMokWabVzHj"/>
      <w:bookmarkEnd w:id="607"/>
      <w:r>
        <w:rPr>
          <w:rFonts w:ascii="Times New Roman;Times;Serif" w:hAnsi="Times New Roman;Times;Serif"/>
          <w:b w:val="false"/>
          <w:i w:val="false"/>
          <w:caps w:val="false"/>
          <w:smallCaps w:val="false"/>
          <w:sz w:val="20"/>
        </w:rPr>
        <w:t>SCHEDULE OF INVENTORIES</w:t>
      </w:r>
    </w:p>
    <w:tbl>
      <w:tblPr>
        <w:tblW w:w="8533" w:type="dxa"/>
        <w:jc w:val="left"/>
        <w:tblInd w:w="0" w:type="dxa"/>
        <w:tblLayout w:type="fixed"/>
        <w:tblCellMar>
          <w:top w:w="0" w:type="dxa"/>
          <w:left w:w="0" w:type="dxa"/>
          <w:bottom w:w="0" w:type="dxa"/>
          <w:right w:w="0" w:type="dxa"/>
        </w:tblCellMar>
      </w:tblPr>
      <w:tblGrid>
        <w:gridCol w:w="5810"/>
        <w:gridCol w:w="60"/>
        <w:gridCol w:w="155"/>
        <w:gridCol w:w="1094"/>
        <w:gridCol w:w="60"/>
        <w:gridCol w:w="60"/>
        <w:gridCol w:w="152"/>
        <w:gridCol w:w="1067"/>
        <w:gridCol w:w="75"/>
      </w:tblGrid>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8" w:name="xdx_49C_20260331_zPC1gc8XCG0d"/>
            <w:bookmarkEnd w:id="608"/>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9" w:name="xdx_491_20250930_zhVbrsFjYJuf"/>
            <w:bookmarkEnd w:id="609"/>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610" w:name="xdx_400_eus-gaap--InventoryRawMaterialsA"/>
            <w:bookmarkEnd w:id="610"/>
          </w:p>
        </w:tc>
      </w:tr>
      <w:tr>
        <w:trPr/>
        <w:tc>
          <w:tcPr>
            <w:tcW w:w="581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1,075,310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964,215</w:t>
            </w:r>
          </w:p>
        </w:tc>
        <w:tc>
          <w:tcPr>
            <w:tcW w:w="75" w:type="dxa"/>
            <w:tcBorders/>
            <w:shd w:fill="CCEEFF" w:val="clear"/>
            <w:vAlign w:val="center"/>
          </w:tcPr>
          <w:p>
            <w:pPr>
              <w:pStyle w:val="TableContents"/>
              <w:bidi w:val="0"/>
              <w:spacing w:before="0" w:after="283"/>
              <w:jc w:val="left"/>
              <w:rPr/>
            </w:pPr>
            <w:r>
              <w:rPr/>
              <w:t> </w:t>
            </w:r>
            <w:bookmarkStart w:id="611" w:name="xdx_401_eus-gaap--InventoryWorkInProcess"/>
            <w:bookmarkEnd w:id="611"/>
          </w:p>
        </w:tc>
      </w:tr>
      <w:tr>
        <w:trPr/>
        <w:tc>
          <w:tcPr>
            <w:tcW w:w="581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255,970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916,949</w:t>
            </w:r>
          </w:p>
        </w:tc>
        <w:tc>
          <w:tcPr>
            <w:tcW w:w="75" w:type="dxa"/>
            <w:tcBorders/>
            <w:shd w:fill="FFFFFF" w:val="clear"/>
            <w:vAlign w:val="center"/>
          </w:tcPr>
          <w:p>
            <w:pPr>
              <w:pStyle w:val="TableContents"/>
              <w:bidi w:val="0"/>
              <w:spacing w:before="0" w:after="283"/>
              <w:jc w:val="left"/>
              <w:rPr/>
            </w:pPr>
            <w:r>
              <w:rPr/>
              <w:t> </w:t>
            </w:r>
            <w:bookmarkStart w:id="612" w:name="xdx_408_ecustom--SelfproducedProducts_iI"/>
            <w:bookmarkEnd w:id="612"/>
          </w:p>
        </w:tc>
      </w:tr>
      <w:tr>
        <w:trPr/>
        <w:tc>
          <w:tcPr>
            <w:tcW w:w="5810" w:type="dxa"/>
            <w:tcBorders/>
            <w:shd w:fill="CCEEFF" w:val="clear"/>
            <w:vAlign w:val="center"/>
          </w:tcPr>
          <w:p>
            <w:pPr>
              <w:pStyle w:val="TableContents"/>
              <w:bidi w:val="0"/>
              <w:spacing w:before="0" w:after="283"/>
              <w:jc w:val="left"/>
              <w:rPr/>
            </w:pPr>
            <w:r>
              <w:rPr/>
              <w:t>Self-produced products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55,979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562,577</w:t>
            </w:r>
          </w:p>
        </w:tc>
        <w:tc>
          <w:tcPr>
            <w:tcW w:w="75" w:type="dxa"/>
            <w:tcBorders/>
            <w:shd w:fill="CCEEFF" w:val="clear"/>
            <w:vAlign w:val="center"/>
          </w:tcPr>
          <w:p>
            <w:pPr>
              <w:pStyle w:val="TableContents"/>
              <w:bidi w:val="0"/>
              <w:spacing w:before="0" w:after="283"/>
              <w:jc w:val="left"/>
              <w:rPr/>
            </w:pPr>
            <w:r>
              <w:rPr/>
              <w:t> </w:t>
            </w:r>
            <w:bookmarkStart w:id="613" w:name="xdx_408_ecustom--PurchasedProductsForCle"/>
            <w:bookmarkEnd w:id="613"/>
          </w:p>
        </w:tc>
      </w:tr>
      <w:tr>
        <w:trPr/>
        <w:tc>
          <w:tcPr>
            <w:tcW w:w="5810" w:type="dxa"/>
            <w:tcBorders/>
            <w:shd w:fill="FFFFFF" w:val="clear"/>
            <w:vAlign w:val="center"/>
          </w:tcPr>
          <w:p>
            <w:pPr>
              <w:pStyle w:val="TableContents"/>
              <w:bidi w:val="0"/>
              <w:spacing w:before="0" w:after="283"/>
              <w:jc w:val="left"/>
              <w:rPr/>
            </w:pPr>
            <w:r>
              <w:rPr/>
              <w:t>Purchased products - clean-energy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1,277,054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1,106,968</w:t>
            </w:r>
          </w:p>
        </w:tc>
        <w:tc>
          <w:tcPr>
            <w:tcW w:w="75" w:type="dxa"/>
            <w:tcBorders/>
            <w:shd w:fill="FFFFFF" w:val="clear"/>
            <w:vAlign w:val="center"/>
          </w:tcPr>
          <w:p>
            <w:pPr>
              <w:pStyle w:val="TableContents"/>
              <w:bidi w:val="0"/>
              <w:spacing w:before="0" w:after="283"/>
              <w:jc w:val="left"/>
              <w:rPr/>
            </w:pPr>
            <w:r>
              <w:rPr/>
              <w:t> </w:t>
            </w:r>
            <w:bookmarkStart w:id="614" w:name="xdx_402_ecustom--PurchasedProductsForDig"/>
            <w:bookmarkEnd w:id="614"/>
          </w:p>
        </w:tc>
      </w:tr>
      <w:tr>
        <w:trPr/>
        <w:tc>
          <w:tcPr>
            <w:tcW w:w="5810" w:type="dxa"/>
            <w:tcBorders/>
            <w:shd w:fill="CCEEFF" w:val="clear"/>
            <w:vAlign w:val="center"/>
          </w:tcPr>
          <w:p>
            <w:pPr>
              <w:pStyle w:val="TableContents"/>
              <w:bidi w:val="0"/>
              <w:spacing w:before="0" w:after="283"/>
              <w:jc w:val="left"/>
              <w:rPr/>
            </w:pPr>
            <w:r>
              <w:rPr/>
              <w:t>Purchased products - digitalization and integration equipment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95,862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102,671</w:t>
            </w:r>
          </w:p>
        </w:tc>
        <w:tc>
          <w:tcPr>
            <w:tcW w:w="75" w:type="dxa"/>
            <w:tcBorders/>
            <w:shd w:fill="CCEEFF" w:val="clear"/>
            <w:vAlign w:val="center"/>
          </w:tcPr>
          <w:p>
            <w:pPr>
              <w:pStyle w:val="TableContents"/>
              <w:bidi w:val="0"/>
              <w:spacing w:before="0" w:after="283"/>
              <w:jc w:val="left"/>
              <w:rPr/>
            </w:pPr>
            <w:r>
              <w:rPr/>
              <w:t> </w:t>
            </w:r>
            <w:bookmarkStart w:id="615" w:name="xdx_406_eus-gaap--InventoryNet_iTI_mtINz"/>
            <w:bookmarkEnd w:id="615"/>
          </w:p>
        </w:tc>
      </w:tr>
      <w:tr>
        <w:trPr/>
        <w:tc>
          <w:tcPr>
            <w:tcW w:w="5810" w:type="dxa"/>
            <w:tcBorders/>
            <w:shd w:fill="FFFFFF" w:val="clear"/>
            <w:vAlign w:val="center"/>
          </w:tcPr>
          <w:p>
            <w:pPr>
              <w:pStyle w:val="TableContents"/>
              <w:bidi w:val="0"/>
              <w:spacing w:before="0" w:after="283"/>
              <w:jc w:val="left"/>
              <w:rPr>
                <w:b/>
              </w:rPr>
            </w:pPr>
            <w:r>
              <w:rPr>
                <w:b/>
              </w:rPr>
              <w:t>Total inventories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2,760,175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3,653,380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16" w:name="xdx_8A0_zK6mjyVxMC6j"/>
      <w:bookmarkEnd w:id="61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Self-produced products include compressors, water injection pump skids and wellhead control panels.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service contracts with separate customers during the period from October 2024 to September 2025. To fulfill these contracts, five self-produced compressors with a total carrying value of $</w:t>
      </w:r>
      <w:bookmarkStart w:id="617" w:name="xdx_90D_ecustom--TransferOfSelfproducedP"/>
      <w:bookmarkEnd w:id="617"/>
      <w:r>
        <w:rPr>
          <w:rFonts w:ascii="Times New Roman;Times;Serif" w:hAnsi="Times New Roman;Times;Serif"/>
          <w:b w:val="false"/>
          <w:i w:val="false"/>
          <w:caps w:val="false"/>
          <w:smallCaps w:val="false"/>
          <w:sz w:val="20"/>
        </w:rPr>
        <w:t>775,141 were transferred to machinery and equipment upon completion as of March 31, 2026. These equipment are used to provide oil and gas engineering technical services to clients. Depreciation on such equipment will commence when it is placed into service and is recorded as part of the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inventories periodically to determine if any reserves are necessary for slow-moving inventory or if a write-down is necessary when the carrying value exceeds net realizable value. There was no allowance for its inventories as of March 31, 2026 and September 30,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8" w:name="xdx_805_ecustom--PrepaidExpenseAndOtherC"/>
      <w:bookmarkEnd w:id="618"/>
      <w:r>
        <w:rPr>
          <w:rFonts w:ascii="Times New Roman;Times;Serif" w:hAnsi="Times New Roman;Times;Serif"/>
          <w:b/>
          <w:i w:val="false"/>
          <w:caps w:val="false"/>
          <w:smallCaps w:val="false"/>
          <w:sz w:val="20"/>
        </w:rPr>
        <w:t xml:space="preserve">NOTE 8 – </w:t>
      </w:r>
      <w:bookmarkStart w:id="619" w:name="xdx_827_zp9MW0N3JRT6"/>
      <w:bookmarkEnd w:id="619"/>
      <w:r>
        <w:rPr>
          <w:rFonts w:ascii="Times New Roman;Times;Serif" w:hAnsi="Times New Roman;Times;Serif"/>
          <w:b/>
          <w:i w:val="false"/>
          <w:caps w:val="false"/>
          <w:smallCaps w:val="false"/>
          <w:sz w:val="20"/>
        </w:rPr>
        <w:t>PREPAID EXPENSES AND OTHER CURRENT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20" w:name="xdx_89A_eus-gaap--DeferredCostsCapitaliz"/>
      <w:bookmarkEnd w:id="620"/>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0" w:right="0" w:hanging="0"/>
        <w:jc w:val="left"/>
        <w:rPr>
          <w:caps w:val="false"/>
          <w:smallCaps w:val="false"/>
        </w:rPr>
      </w:pPr>
      <w:r>
        <w:rPr>
          <w:caps w:val="false"/>
          <w:smallCaps w:val="false"/>
        </w:rPr>
        <w:t> </w:t>
      </w:r>
      <w:bookmarkStart w:id="621" w:name="xdx_8B8_zTt3OMVWvwMg"/>
      <w:bookmarkEnd w:id="621"/>
      <w:r>
        <w:rPr>
          <w:rFonts w:ascii="Times New Roman;Times;Serif" w:hAnsi="Times New Roman;Times;Serif"/>
          <w:b w:val="false"/>
          <w:i w:val="false"/>
          <w:caps w:val="false"/>
          <w:smallCaps w:val="false"/>
          <w:sz w:val="20"/>
        </w:rPr>
        <w:t>SCHEDULE OF PREPAID EXPENSES AND OTHER CURRENT ASSETS </w:t>
      </w:r>
    </w:p>
    <w:tbl>
      <w:tblPr>
        <w:tblW w:w="7523" w:type="dxa"/>
        <w:jc w:val="left"/>
        <w:tblInd w:w="0" w:type="dxa"/>
        <w:tblLayout w:type="fixed"/>
        <w:tblCellMar>
          <w:top w:w="0" w:type="dxa"/>
          <w:left w:w="0" w:type="dxa"/>
          <w:bottom w:w="0" w:type="dxa"/>
          <w:right w:w="0" w:type="dxa"/>
        </w:tblCellMar>
      </w:tblPr>
      <w:tblGrid>
        <w:gridCol w:w="4730"/>
        <w:gridCol w:w="60"/>
        <w:gridCol w:w="155"/>
        <w:gridCol w:w="1094"/>
        <w:gridCol w:w="95"/>
        <w:gridCol w:w="60"/>
        <w:gridCol w:w="152"/>
        <w:gridCol w:w="1067"/>
        <w:gridCol w:w="110"/>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2" w:name="xdx_499_20260331_zDZtwMRvbbSl"/>
            <w:bookmarkEnd w:id="622"/>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3" w:name="xdx_491_20250930_zzmScQq8VKs4"/>
            <w:bookmarkEnd w:id="623"/>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624" w:name="xdx_40B_ecustom--DepositsCurrent_iI_maPE"/>
            <w:bookmarkEnd w:id="624"/>
          </w:p>
        </w:tc>
      </w:tr>
      <w:tr>
        <w:trPr/>
        <w:tc>
          <w:tcPr>
            <w:tcW w:w="4730" w:type="dxa"/>
            <w:tcBorders/>
            <w:shd w:fill="CCEEFF" w:val="clear"/>
            <w:vAlign w:val="center"/>
          </w:tcPr>
          <w:p>
            <w:pPr>
              <w:pStyle w:val="TableContents"/>
              <w:bidi w:val="0"/>
              <w:spacing w:before="0" w:after="283"/>
              <w:jc w:val="left"/>
              <w:rPr/>
            </w:pPr>
            <w:r>
              <w:rPr/>
              <w:t xml:space="preserve">Deposits </w:t>
            </w:r>
            <w:bookmarkStart w:id="625" w:name="xdx_F42_zOh2Pd1yekIl"/>
            <w:bookmarkEnd w:id="625"/>
            <w:r>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609,341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516,685</w:t>
            </w:r>
          </w:p>
        </w:tc>
        <w:tc>
          <w:tcPr>
            <w:tcW w:w="110" w:type="dxa"/>
            <w:tcBorders/>
            <w:shd w:fill="CCEEFF" w:val="clear"/>
            <w:vAlign w:val="center"/>
          </w:tcPr>
          <w:p>
            <w:pPr>
              <w:pStyle w:val="TableContents"/>
              <w:bidi w:val="0"/>
              <w:spacing w:before="0" w:after="283"/>
              <w:jc w:val="left"/>
              <w:rPr/>
            </w:pPr>
            <w:r>
              <w:rPr/>
              <w:t> </w:t>
            </w:r>
            <w:bookmarkStart w:id="626" w:name="xdx_406_ecustom--AdvancesToStaffCurrent_"/>
            <w:bookmarkEnd w:id="626"/>
          </w:p>
        </w:tc>
      </w:tr>
      <w:tr>
        <w:trPr/>
        <w:tc>
          <w:tcPr>
            <w:tcW w:w="4730" w:type="dxa"/>
            <w:tcBorders/>
            <w:shd w:fill="FFFFFF" w:val="clear"/>
            <w:vAlign w:val="center"/>
          </w:tcPr>
          <w:p>
            <w:pPr>
              <w:pStyle w:val="TableContents"/>
              <w:bidi w:val="0"/>
              <w:spacing w:before="0" w:after="283"/>
              <w:jc w:val="left"/>
              <w:rPr/>
            </w:pPr>
            <w:r>
              <w:rPr/>
              <w:t xml:space="preserve">Staff advances </w:t>
            </w:r>
            <w:bookmarkStart w:id="627" w:name="xdx_F4C_z95JALkXCo4e"/>
            <w:bookmarkEnd w:id="627"/>
            <w:r>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294,063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104,950</w:t>
            </w:r>
          </w:p>
        </w:tc>
        <w:tc>
          <w:tcPr>
            <w:tcW w:w="110" w:type="dxa"/>
            <w:tcBorders/>
            <w:shd w:fill="FFFFFF" w:val="clear"/>
            <w:vAlign w:val="center"/>
          </w:tcPr>
          <w:p>
            <w:pPr>
              <w:pStyle w:val="TableContents"/>
              <w:bidi w:val="0"/>
              <w:spacing w:before="0" w:after="283"/>
              <w:jc w:val="left"/>
              <w:rPr/>
            </w:pPr>
            <w:r>
              <w:rPr/>
              <w:t> </w:t>
            </w:r>
            <w:bookmarkStart w:id="628" w:name="xdx_40A_eus-gaap--PrepaidTaxes_iI_maPEAO"/>
            <w:bookmarkEnd w:id="628"/>
          </w:p>
        </w:tc>
      </w:tr>
      <w:tr>
        <w:trPr/>
        <w:tc>
          <w:tcPr>
            <w:tcW w:w="4730" w:type="dxa"/>
            <w:tcBorders/>
            <w:shd w:fill="CCEEFF" w:val="clear"/>
            <w:vAlign w:val="center"/>
          </w:tcPr>
          <w:p>
            <w:pPr>
              <w:pStyle w:val="TableContents"/>
              <w:bidi w:val="0"/>
              <w:spacing w:before="0" w:after="283"/>
              <w:jc w:val="left"/>
              <w:rPr/>
            </w:pPr>
            <w:r>
              <w:rPr/>
              <w:t xml:space="preserve">VAT Credit to be deducted </w:t>
            </w:r>
            <w:bookmarkStart w:id="629" w:name="xdx_F46_zj6eIwOKDJsa"/>
            <w:bookmarkEnd w:id="629"/>
            <w:r>
              <w:rPr/>
              <w:t>(3)</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1,516,675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1,048,418</w:t>
            </w:r>
          </w:p>
        </w:tc>
        <w:tc>
          <w:tcPr>
            <w:tcW w:w="110" w:type="dxa"/>
            <w:tcBorders/>
            <w:shd w:fill="CCEEFF" w:val="clear"/>
            <w:vAlign w:val="center"/>
          </w:tcPr>
          <w:p>
            <w:pPr>
              <w:pStyle w:val="TableContents"/>
              <w:bidi w:val="0"/>
              <w:spacing w:before="0" w:after="283"/>
              <w:jc w:val="left"/>
              <w:rPr/>
            </w:pPr>
            <w:r>
              <w:rPr/>
              <w:t> </w:t>
            </w:r>
            <w:bookmarkStart w:id="630" w:name="xdx_401_ecustom--AdvancedServiceFeeCurre"/>
            <w:bookmarkEnd w:id="630"/>
          </w:p>
        </w:tc>
      </w:tr>
      <w:tr>
        <w:trPr/>
        <w:tc>
          <w:tcPr>
            <w:tcW w:w="4730" w:type="dxa"/>
            <w:tcBorders/>
            <w:shd w:fill="FFFFFF" w:val="clear"/>
            <w:vAlign w:val="center"/>
          </w:tcPr>
          <w:p>
            <w:pPr>
              <w:pStyle w:val="TableContents"/>
              <w:bidi w:val="0"/>
              <w:spacing w:before="0" w:after="283"/>
              <w:jc w:val="left"/>
              <w:rPr/>
            </w:pPr>
            <w:r>
              <w:rPr/>
              <w:t xml:space="preserve">Advanced service fee </w:t>
            </w:r>
            <w:bookmarkStart w:id="631" w:name="xdx_F4C_zh4cboVju9A5"/>
            <w:bookmarkEnd w:id="631"/>
            <w:r>
              <w:rPr/>
              <w:t>(4)</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22,895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420,185</w:t>
            </w:r>
          </w:p>
        </w:tc>
        <w:tc>
          <w:tcPr>
            <w:tcW w:w="110" w:type="dxa"/>
            <w:tcBorders/>
            <w:shd w:fill="FFFFFF" w:val="clear"/>
            <w:vAlign w:val="center"/>
          </w:tcPr>
          <w:p>
            <w:pPr>
              <w:pStyle w:val="TableContents"/>
              <w:bidi w:val="0"/>
              <w:spacing w:before="0" w:after="283"/>
              <w:jc w:val="left"/>
              <w:rPr/>
            </w:pPr>
            <w:r>
              <w:rPr/>
              <w:t> </w:t>
            </w:r>
            <w:bookmarkStart w:id="632" w:name="xdx_402_ecustom--EquityTransactionCurren"/>
            <w:bookmarkEnd w:id="632"/>
          </w:p>
        </w:tc>
      </w:tr>
      <w:tr>
        <w:trPr/>
        <w:tc>
          <w:tcPr>
            <w:tcW w:w="4730" w:type="dxa"/>
            <w:tcBorders/>
            <w:shd w:fill="CCEEFF" w:val="clear"/>
            <w:vAlign w:val="center"/>
          </w:tcPr>
          <w:p>
            <w:pPr>
              <w:pStyle w:val="TableContents"/>
              <w:bidi w:val="0"/>
              <w:spacing w:before="0" w:after="283"/>
              <w:jc w:val="left"/>
              <w:rPr/>
            </w:pPr>
            <w:r>
              <w:rPr/>
              <w:t xml:space="preserve">Equity transaction </w:t>
            </w:r>
            <w:bookmarkStart w:id="633" w:name="xdx_F49_z1oAHdZ5lFO1"/>
            <w:bookmarkEnd w:id="633"/>
            <w:r>
              <w:rPr/>
              <w:t>(5)</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1,010,492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984,026</w:t>
            </w:r>
          </w:p>
        </w:tc>
        <w:tc>
          <w:tcPr>
            <w:tcW w:w="110" w:type="dxa"/>
            <w:tcBorders/>
            <w:shd w:fill="CCEEFF" w:val="clear"/>
            <w:vAlign w:val="center"/>
          </w:tcPr>
          <w:p>
            <w:pPr>
              <w:pStyle w:val="TableContents"/>
              <w:bidi w:val="0"/>
              <w:spacing w:before="0" w:after="283"/>
              <w:jc w:val="left"/>
              <w:rPr/>
            </w:pPr>
            <w:r>
              <w:rPr/>
              <w:t> </w:t>
            </w:r>
            <w:bookmarkStart w:id="634" w:name="xdx_409_eus-gaap--OtherPrepaidExpenseCur"/>
            <w:bookmarkEnd w:id="634"/>
          </w:p>
        </w:tc>
      </w:tr>
      <w:tr>
        <w:trPr/>
        <w:tc>
          <w:tcPr>
            <w:tcW w:w="4730" w:type="dxa"/>
            <w:tcBorders/>
            <w:shd w:fill="FFFFFF" w:val="clear"/>
            <w:vAlign w:val="center"/>
          </w:tcPr>
          <w:p>
            <w:pPr>
              <w:pStyle w:val="TableContents"/>
              <w:bidi w:val="0"/>
              <w:spacing w:before="0" w:after="283"/>
              <w:jc w:val="left"/>
              <w:rPr/>
            </w:pPr>
            <w:r>
              <w:rPr/>
              <w:t xml:space="preserve">Other </w:t>
            </w:r>
            <w:bookmarkStart w:id="635" w:name="xdx_F43_z9CHSidxbdG9"/>
            <w:bookmarkEnd w:id="635"/>
            <w:r>
              <w:rPr/>
              <w:t>(6)</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101,376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271,595</w:t>
            </w:r>
          </w:p>
        </w:tc>
        <w:tc>
          <w:tcPr>
            <w:tcW w:w="110" w:type="dxa"/>
            <w:tcBorders/>
            <w:shd w:fill="FFFFFF" w:val="clear"/>
            <w:vAlign w:val="center"/>
          </w:tcPr>
          <w:p>
            <w:pPr>
              <w:pStyle w:val="TableContents"/>
              <w:bidi w:val="0"/>
              <w:spacing w:before="0" w:after="283"/>
              <w:jc w:val="left"/>
              <w:rPr/>
            </w:pPr>
            <w:r>
              <w:rPr/>
              <w:t> </w:t>
            </w:r>
            <w:bookmarkStart w:id="636" w:name="xdx_403_ecustom--AllowanceForExpectedCre"/>
            <w:bookmarkEnd w:id="636"/>
          </w:p>
        </w:tc>
      </w:tr>
      <w:tr>
        <w:trPr/>
        <w:tc>
          <w:tcPr>
            <w:tcW w:w="4730" w:type="dxa"/>
            <w:tcBorders/>
            <w:shd w:fill="CCEEFF" w:val="clear"/>
            <w:vAlign w:val="center"/>
          </w:tcPr>
          <w:p>
            <w:pPr>
              <w:pStyle w:val="TableContents"/>
              <w:bidi w:val="0"/>
              <w:spacing w:before="0" w:after="283"/>
              <w:jc w:val="left"/>
              <w:rPr/>
            </w:pPr>
            <w:r>
              <w:rPr/>
              <w:t>Less: allowance for expected credit losses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(232,504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(376,571</w:t>
            </w:r>
          </w:p>
        </w:tc>
        <w:tc>
          <w:tcPr>
            <w:tcW w:w="110" w:type="dxa"/>
            <w:tcBorders/>
            <w:shd w:fill="CCEEFF" w:val="clear"/>
            <w:vAlign w:val="center"/>
          </w:tcPr>
          <w:p>
            <w:pPr>
              <w:pStyle w:val="TableContents"/>
              <w:bidi w:val="0"/>
              <w:spacing w:before="0" w:after="283"/>
              <w:jc w:val="left"/>
              <w:rPr/>
            </w:pPr>
            <w:r>
              <w:rPr/>
              <w:t>)</w:t>
            </w:r>
            <w:bookmarkStart w:id="637" w:name="xdx_40A_eus-gaap--PrepaidExpenseAndOther"/>
            <w:bookmarkEnd w:id="637"/>
          </w:p>
        </w:tc>
      </w:tr>
      <w:tr>
        <w:trPr/>
        <w:tc>
          <w:tcPr>
            <w:tcW w:w="4730" w:type="dxa"/>
            <w:tcBorders/>
            <w:shd w:fill="FFFFFF" w:val="clear"/>
            <w:vAlign w:val="center"/>
          </w:tcPr>
          <w:p>
            <w:pPr>
              <w:pStyle w:val="TableContents"/>
              <w:bidi w:val="0"/>
              <w:spacing w:before="0" w:after="283"/>
              <w:jc w:val="left"/>
              <w:rPr>
                <w:b/>
              </w:rPr>
            </w:pPr>
            <w:r>
              <w:rPr>
                <w:b/>
              </w:rPr>
              <w:t>Prepaid expenses and other current assets,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3,322,338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2,969,288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38" w:name="xdx_F01_zvl8svkVkop"/>
            <w:bookmarkEnd w:id="638"/>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39" w:name="xdx_F1D_zehhZBHTIa9h"/>
            <w:bookmarkEnd w:id="639"/>
            <w:r>
              <w:rPr>
                <w:rFonts w:ascii="Times New Roman;Times;Serif" w:hAnsi="Times New Roman;Times;Serif"/>
                <w:b w:val="false"/>
                <w:i w:val="false"/>
                <w:caps w:val="false"/>
                <w:smallCaps w:val="false"/>
                <w:sz w:val="20"/>
              </w:rPr>
              <w:t>Deposits primarily consist of bidding deposits and a deposit to third-party for participating in production of nature gas.</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40" w:name="xdx_F07_zJZfp22RSzJ9"/>
            <w:bookmarkEnd w:id="640"/>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41" w:name="xdx_F16_zbYPV9PBNC9f"/>
            <w:bookmarkEnd w:id="641"/>
            <w:r>
              <w:rPr>
                <w:rFonts w:ascii="Times New Roman;Times;Serif" w:hAnsi="Times New Roman;Times;Serif"/>
                <w:b w:val="false"/>
                <w:i w:val="false"/>
                <w:caps w:val="false"/>
                <w:smallCaps w:val="false"/>
                <w:sz w:val="20"/>
              </w:rPr>
              <w:t>Staff advances primarily were cash advances to employees for their expected business travel or in connection with various expense incurred in the ordinary course of business, such as sales and marketing activities.</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bookmarkStart w:id="642" w:name="xdx_F04_zNPiNDKrLGVb"/>
            <w:bookmarkEnd w:id="642"/>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643" w:name="xdx_F12_zamptFnlAWOb"/>
            <w:bookmarkEnd w:id="643"/>
            <w:r>
              <w:rPr>
                <w:rFonts w:ascii="Times New Roman;Times;Serif" w:hAnsi="Times New Roman;Times;Serif"/>
                <w:b w:val="false"/>
                <w:i w:val="false"/>
                <w:caps w:val="false"/>
                <w:smallCaps w:val="false"/>
                <w:sz w:val="20"/>
              </w:rPr>
              <w:t>VAT Credit to be deducted refers to the amount of VAT that the Company already paid on purchases but is not yet fully eligible to offset against its output tax in the current period. The Company classified this portion of the VAT credit to be deducted as a current asset, based on the assessment that it will be utilized to offset output tax within the next twelve months.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fiscal year 2025, revenues generated by Leishen Nanjing, Leishen Shandong, ZJY Technologies and Sichuan Leishen Hongzhuo were lower than their costs and expenses, resulting in a larger amount of input VAT invoices received compared to output VAT invoices issued. The excess portion could not be deducted in the current period and thus classified as other current assets, to be carried forward for deduction in future periods.</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44" w:name="xdx_F06_zKxe40KV2bWi"/>
            <w:bookmarkEnd w:id="644"/>
            <w:r>
              <w:rPr>
                <w:rFonts w:ascii="Times New Roman;Times;Serif" w:hAnsi="Times New Roman;Times;Serif"/>
                <w:b w:val="false"/>
                <w:i w:val="false"/>
                <w:caps w:val="false"/>
                <w:smallCaps w:val="false"/>
                <w:sz w:val="20"/>
              </w:rPr>
              <w:t>(4)</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45" w:name="xdx_F1E_zb9PkOciWMk9"/>
            <w:bookmarkEnd w:id="645"/>
            <w:r>
              <w:rPr>
                <w:rFonts w:ascii="Times New Roman;Times;Serif" w:hAnsi="Times New Roman;Times;Serif"/>
                <w:b w:val="false"/>
                <w:i w:val="false"/>
                <w:caps w:val="false"/>
                <w:smallCaps w:val="false"/>
                <w:sz w:val="20"/>
              </w:rPr>
              <w:t>Advanced service fee primarily were cash advances to third parties for equipment consulting services. As of September 30, 2025, advanced service fee primarily consisted of amounts paid in advance to Beijing Youyi Natural Technology Co., Ltd. ($</w:t>
            </w:r>
            <w:bookmarkStart w:id="646" w:name="xdx_908_ecustom--AdvancedServiceFeeCurre"/>
            <w:bookmarkEnd w:id="646"/>
            <w:r>
              <w:rPr>
                <w:rFonts w:ascii="Times New Roman;Times;Serif" w:hAnsi="Times New Roman;Times;Serif"/>
                <w:b w:val="false"/>
                <w:i w:val="false"/>
                <w:caps w:val="false"/>
                <w:smallCaps w:val="false"/>
                <w:sz w:val="20"/>
              </w:rPr>
              <w:t xml:space="preserve">153,174), Sichuan Zhuoyue Shuxin Technology Co., Ltd. ($ </w:t>
            </w:r>
            <w:bookmarkStart w:id="647" w:name="xdx_903_ecustom--AdvancedServiceFeeCurre"/>
            <w:bookmarkEnd w:id="647"/>
            <w:r>
              <w:rPr>
                <w:rFonts w:ascii="Times New Roman;Times;Serif" w:hAnsi="Times New Roman;Times;Serif"/>
                <w:b w:val="false"/>
                <w:i w:val="false"/>
                <w:caps w:val="false"/>
                <w:smallCaps w:val="false"/>
                <w:sz w:val="20"/>
              </w:rPr>
              <w:t xml:space="preserve">219,548), and Sichuan Jiahongyi Information Technology Consulting Co., Ltd. ($ </w:t>
            </w:r>
            <w:bookmarkStart w:id="648" w:name="xdx_907_ecustom--AdvancedServiceFeeCurre"/>
            <w:bookmarkEnd w:id="648"/>
            <w:r>
              <w:rPr>
                <w:rFonts w:ascii="Times New Roman;Times;Serif" w:hAnsi="Times New Roman;Times;Serif"/>
                <w:b w:val="false"/>
                <w:i w:val="false"/>
                <w:caps w:val="false"/>
                <w:smallCaps w:val="false"/>
                <w:sz w:val="20"/>
              </w:rPr>
              <w:t>28,147) by ZJY Technologies.</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49" w:name="xdx_F0B_zeCQN7BfbRB4"/>
            <w:bookmarkEnd w:id="649"/>
            <w:r>
              <w:rPr>
                <w:rFonts w:ascii="Times New Roman;Times;Serif" w:hAnsi="Times New Roman;Times;Serif"/>
                <w:b w:val="false"/>
                <w:i w:val="false"/>
                <w:caps w:val="false"/>
                <w:smallCaps w:val="false"/>
                <w:sz w:val="20"/>
              </w:rPr>
              <w:t>(5)</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50" w:name="xdx_F1B_z7DRL627eD34"/>
            <w:bookmarkEnd w:id="650"/>
            <w:r>
              <w:rPr>
                <w:rFonts w:ascii="Times New Roman;Times;Serif" w:hAnsi="Times New Roman;Times;Serif"/>
                <w:b w:val="false"/>
                <w:i w:val="false"/>
                <w:caps w:val="false"/>
                <w:smallCaps w:val="false"/>
                <w:sz w:val="20"/>
              </w:rPr>
              <w:t xml:space="preserve">Equity transaction was the amount payable by Jining Eni Energy Technology Co., Ltd to China Oil Blue Ocean for the purchase of China Oil Blue Ocean’s </w:t>
            </w:r>
            <w:bookmarkStart w:id="651" w:name="xdx_902_eus-gaap--EquityMethodInvestment"/>
            <w:bookmarkEnd w:id="651"/>
            <w:r>
              <w:rPr>
                <w:rFonts w:ascii="Times New Roman;Times;Serif" w:hAnsi="Times New Roman;Times;Serif"/>
                <w:b w:val="false"/>
                <w:i w:val="false"/>
                <w:caps w:val="false"/>
                <w:smallCaps w:val="false"/>
                <w:sz w:val="20"/>
              </w:rPr>
              <w:t>40% share in Sichuan TIBO.</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52" w:name="xdx_F03_zS01TTTe7Ms2"/>
            <w:bookmarkEnd w:id="652"/>
            <w:r>
              <w:rPr>
                <w:rFonts w:ascii="Times New Roman;Times;Serif" w:hAnsi="Times New Roman;Times;Serif"/>
                <w:b w:val="false"/>
                <w:i w:val="false"/>
                <w:caps w:val="false"/>
                <w:smallCaps w:val="false"/>
                <w:sz w:val="20"/>
              </w:rPr>
              <w:t>(6)</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653" w:name="xdx_F13_zylzpHNbD5j7"/>
            <w:bookmarkEnd w:id="653"/>
            <w:r>
              <w:rPr>
                <w:rFonts w:ascii="Times New Roman;Times;Serif" w:hAnsi="Times New Roman;Times;Serif"/>
                <w:b w:val="false"/>
                <w:i w:val="false"/>
                <w:caps w:val="false"/>
                <w:smallCaps w:val="false"/>
                <w:sz w:val="20"/>
              </w:rPr>
              <w:t>Other primarily consists of prepayment to third parties, such as freight, water and electricity, property management fees.</w:t>
            </w:r>
          </w:p>
        </w:tc>
      </w:tr>
    </w:tbl>
    <w:p>
      <w:pPr>
        <w:pStyle w:val="TextBody"/>
        <w:bidi w:val="0"/>
        <w:spacing w:before="0" w:after="0"/>
        <w:ind w:left="0" w:right="0" w:hanging="0"/>
        <w:jc w:val="left"/>
        <w:rPr>
          <w:caps w:val="false"/>
          <w:smallCaps w:val="false"/>
        </w:rPr>
      </w:pPr>
      <w:bookmarkStart w:id="654" w:name="xdx_8A6_zMMxax1Nckhf"/>
      <w:bookmarkEnd w:id="65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55" w:name="xdx_894_ecustom--ScheduleOfAllowanceForC"/>
      <w:bookmarkEnd w:id="655"/>
      <w:r>
        <w:rPr>
          <w:rFonts w:ascii="Times New Roman;Times;Serif" w:hAnsi="Times New Roman;Times;Serif"/>
          <w:b w:val="false"/>
          <w:i w:val="false"/>
          <w:caps w:val="false"/>
          <w:smallCaps w:val="false"/>
          <w:sz w:val="20"/>
        </w:rPr>
        <w:t>The movement of allowance for credit losses for the six months ended March 31, 2026 and 2025 was as follows:</w:t>
      </w:r>
    </w:p>
    <w:p>
      <w:pPr>
        <w:pStyle w:val="TextBody"/>
        <w:bidi w:val="0"/>
        <w:spacing w:before="0" w:after="0"/>
        <w:ind w:left="0" w:right="0" w:hanging="0"/>
        <w:jc w:val="both"/>
        <w:rPr>
          <w:caps w:val="false"/>
          <w:smallCaps w:val="false"/>
        </w:rPr>
      </w:pPr>
      <w:r>
        <w:rPr>
          <w:caps w:val="false"/>
          <w:smallCaps w:val="false"/>
        </w:rPr>
        <w:t> </w:t>
      </w:r>
      <w:bookmarkStart w:id="656" w:name="xdx_8BE_zZSTRmI2u656"/>
      <w:bookmarkEnd w:id="656"/>
      <w:r>
        <w:rPr>
          <w:rFonts w:ascii="Times New Roman;Times;Serif" w:hAnsi="Times New Roman;Times;Serif"/>
          <w:b w:val="false"/>
          <w:i w:val="false"/>
          <w:caps w:val="false"/>
          <w:smallCaps w:val="false"/>
          <w:sz w:val="20"/>
        </w:rPr>
        <w:t>SCHEDULE OF ALLOWANCE FOR CREDIT LOSSES </w:t>
      </w:r>
    </w:p>
    <w:tbl>
      <w:tblPr>
        <w:tblW w:w="6638" w:type="dxa"/>
        <w:jc w:val="left"/>
        <w:tblInd w:w="0" w:type="dxa"/>
        <w:tblLayout w:type="fixed"/>
        <w:tblCellMar>
          <w:top w:w="0" w:type="dxa"/>
          <w:left w:w="0" w:type="dxa"/>
          <w:bottom w:w="0" w:type="dxa"/>
          <w:right w:w="0" w:type="dxa"/>
        </w:tblCellMar>
      </w:tblPr>
      <w:tblGrid>
        <w:gridCol w:w="3815"/>
        <w:gridCol w:w="60"/>
        <w:gridCol w:w="172"/>
        <w:gridCol w:w="1077"/>
        <w:gridCol w:w="95"/>
        <w:gridCol w:w="60"/>
        <w:gridCol w:w="186"/>
        <w:gridCol w:w="1063"/>
        <w:gridCol w:w="11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7" w:name="xdx_491_20251001__20260331_zDMzkI3owzE6"/>
            <w:bookmarkEnd w:id="65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58" w:name="xdx_49C_20241001__20250331_zxYv4sWrGow9"/>
            <w:bookmarkEnd w:id="65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659" w:name="xdx_40C_eus-gaap--AllowanceForDoubtfulAc"/>
            <w:bookmarkEnd w:id="659"/>
          </w:p>
        </w:tc>
      </w:tr>
      <w:tr>
        <w:trPr/>
        <w:tc>
          <w:tcPr>
            <w:tcW w:w="3815" w:type="dxa"/>
            <w:tcBorders/>
            <w:shd w:fill="CCEEFF" w:val="clear"/>
            <w:vAlign w:val="center"/>
          </w:tcPr>
          <w:p>
            <w:pPr>
              <w:pStyle w:val="TableContents"/>
              <w:bidi w:val="0"/>
              <w:spacing w:before="0" w:after="283"/>
              <w:jc w:val="left"/>
              <w:rPr>
                <w:b/>
              </w:rPr>
            </w:pPr>
            <w:r>
              <w:rPr>
                <w:b/>
              </w:rPr>
              <w:t>Balance at beginning of the period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376,571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190,303</w:t>
            </w:r>
          </w:p>
        </w:tc>
        <w:tc>
          <w:tcPr>
            <w:tcW w:w="110" w:type="dxa"/>
            <w:tcBorders/>
            <w:shd w:fill="CCEEFF" w:val="clear"/>
            <w:vAlign w:val="center"/>
          </w:tcPr>
          <w:p>
            <w:pPr>
              <w:pStyle w:val="TableContents"/>
              <w:bidi w:val="0"/>
              <w:spacing w:before="0" w:after="283"/>
              <w:jc w:val="left"/>
              <w:rPr/>
            </w:pPr>
            <w:r>
              <w:rPr/>
              <w:t> </w:t>
            </w:r>
            <w:bookmarkStart w:id="660" w:name="xdx_400_eus-gaap--AllowanceForDoubtfulAc"/>
            <w:bookmarkEnd w:id="660"/>
          </w:p>
        </w:tc>
      </w:tr>
      <w:tr>
        <w:trPr/>
        <w:tc>
          <w:tcPr>
            <w:tcW w:w="3815" w:type="dxa"/>
            <w:tcBorders/>
            <w:shd w:fill="FFFFFF" w:val="clear"/>
            <w:vAlign w:val="center"/>
          </w:tcPr>
          <w:p>
            <w:pPr>
              <w:pStyle w:val="TableContents"/>
              <w:bidi w:val="0"/>
              <w:spacing w:before="0" w:after="283"/>
              <w:jc w:val="left"/>
              <w:rPr/>
            </w:pPr>
            <w:r>
              <w:rPr/>
              <w:t>Reversal of allowance during the period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(152,077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(22,074</w:t>
            </w:r>
          </w:p>
        </w:tc>
        <w:tc>
          <w:tcPr>
            <w:tcW w:w="110" w:type="dxa"/>
            <w:tcBorders/>
            <w:shd w:fill="FFFFFF" w:val="clear"/>
            <w:vAlign w:val="center"/>
          </w:tcPr>
          <w:p>
            <w:pPr>
              <w:pStyle w:val="TableContents"/>
              <w:bidi w:val="0"/>
              <w:spacing w:before="0" w:after="283"/>
              <w:jc w:val="left"/>
              <w:rPr/>
            </w:pPr>
            <w:r>
              <w:rPr/>
              <w:t>)</w:t>
            </w:r>
            <w:bookmarkStart w:id="661" w:name="xdx_407_eus-gaap--AllowanceForDoubtfulAc"/>
            <w:bookmarkEnd w:id="661"/>
          </w:p>
        </w:tc>
      </w:tr>
      <w:tr>
        <w:trPr/>
        <w:tc>
          <w:tcPr>
            <w:tcW w:w="3815"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8,010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(4,528</w:t>
            </w:r>
          </w:p>
        </w:tc>
        <w:tc>
          <w:tcPr>
            <w:tcW w:w="110" w:type="dxa"/>
            <w:tcBorders/>
            <w:shd w:fill="CCEEFF" w:val="clear"/>
            <w:vAlign w:val="center"/>
          </w:tcPr>
          <w:p>
            <w:pPr>
              <w:pStyle w:val="TableContents"/>
              <w:bidi w:val="0"/>
              <w:spacing w:before="0" w:after="283"/>
              <w:jc w:val="left"/>
              <w:rPr/>
            </w:pPr>
            <w:r>
              <w:rPr/>
              <w:t>)</w:t>
            </w:r>
            <w:bookmarkStart w:id="662" w:name="xdx_40E_eus-gaap--AllowanceForDoubtfulAc"/>
            <w:bookmarkEnd w:id="662"/>
          </w:p>
        </w:tc>
      </w:tr>
      <w:tr>
        <w:trPr/>
        <w:tc>
          <w:tcPr>
            <w:tcW w:w="3815" w:type="dxa"/>
            <w:tcBorders/>
            <w:shd w:fill="FFFFFF" w:val="clear"/>
            <w:vAlign w:val="center"/>
          </w:tcPr>
          <w:p>
            <w:pPr>
              <w:pStyle w:val="TableContents"/>
              <w:bidi w:val="0"/>
              <w:spacing w:before="0" w:after="283"/>
              <w:jc w:val="left"/>
              <w:rPr>
                <w:b/>
              </w:rPr>
            </w:pPr>
            <w:r>
              <w:rPr>
                <w:b/>
              </w:rPr>
              <w:t>Balance at end of the period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163,701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3" w:name="xdx_8AC_zzYMJ1tNsgmk"/>
      <w:bookmarkEnd w:id="66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4" w:name="xdx_80D_eus-gaap--InvestmentTextBlock_zg"/>
      <w:bookmarkEnd w:id="664"/>
      <w:r>
        <w:rPr>
          <w:rFonts w:ascii="Times New Roman;Times;Serif" w:hAnsi="Times New Roman;Times;Serif"/>
          <w:b/>
          <w:i w:val="false"/>
          <w:caps w:val="false"/>
          <w:smallCaps w:val="false"/>
          <w:sz w:val="20"/>
        </w:rPr>
        <w:t xml:space="preserve">NOTE 9 – </w:t>
      </w:r>
      <w:bookmarkStart w:id="665" w:name="xdx_82C_zWmLgnktSIDk"/>
      <w:bookmarkEnd w:id="665"/>
      <w:r>
        <w:rPr>
          <w:rFonts w:ascii="Times New Roman;Times;Serif" w:hAnsi="Times New Roman;Times;Serif"/>
          <w:b/>
          <w:i w:val="false"/>
          <w:caps w:val="false"/>
          <w:smallCaps w:val="false"/>
          <w:sz w:val="20"/>
        </w:rPr>
        <w:t>LONG-TERM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6" w:name="xdx_898_eus-gaap--InvestmentTableTextBlo"/>
      <w:bookmarkEnd w:id="666"/>
      <w:r>
        <w:rPr>
          <w:rFonts w:ascii="Times New Roman;Times;Serif" w:hAnsi="Times New Roman;Times;Serif"/>
          <w:b w:val="false"/>
          <w:i w:val="false"/>
          <w:caps w:val="false"/>
          <w:smallCaps w:val="false"/>
          <w:sz w:val="20"/>
        </w:rPr>
        <w:t>Long-term investment consisted of the following:</w:t>
      </w:r>
    </w:p>
    <w:p>
      <w:pPr>
        <w:pStyle w:val="TextBody"/>
        <w:bidi w:val="0"/>
        <w:spacing w:before="0" w:after="0"/>
        <w:ind w:left="0" w:right="0" w:hanging="0"/>
        <w:jc w:val="both"/>
        <w:rPr>
          <w:caps w:val="false"/>
          <w:smallCaps w:val="false"/>
        </w:rPr>
      </w:pPr>
      <w:r>
        <w:rPr>
          <w:caps w:val="false"/>
          <w:smallCaps w:val="false"/>
        </w:rPr>
        <w:t> </w:t>
      </w:r>
      <w:bookmarkStart w:id="667" w:name="xdx_8BC_znFJyAuvXX1e"/>
      <w:bookmarkEnd w:id="667"/>
      <w:r>
        <w:rPr>
          <w:rFonts w:ascii="Times New Roman;Times;Serif" w:hAnsi="Times New Roman;Times;Serif"/>
          <w:b w:val="false"/>
          <w:i w:val="false"/>
          <w:caps w:val="false"/>
          <w:smallCaps w:val="false"/>
          <w:sz w:val="20"/>
        </w:rPr>
        <w:t>SCHEDULE OF LONG-TERM INVESTMENTS </w:t>
      </w:r>
    </w:p>
    <w:tbl>
      <w:tblPr>
        <w:tblW w:w="7723" w:type="dxa"/>
        <w:jc w:val="left"/>
        <w:tblInd w:w="0" w:type="dxa"/>
        <w:tblLayout w:type="fixed"/>
        <w:tblCellMar>
          <w:top w:w="0" w:type="dxa"/>
          <w:left w:w="0" w:type="dxa"/>
          <w:bottom w:w="0" w:type="dxa"/>
          <w:right w:w="0" w:type="dxa"/>
        </w:tblCellMar>
      </w:tblPr>
      <w:tblGrid>
        <w:gridCol w:w="5000"/>
        <w:gridCol w:w="60"/>
        <w:gridCol w:w="186"/>
        <w:gridCol w:w="1063"/>
        <w:gridCol w:w="60"/>
        <w:gridCol w:w="60"/>
        <w:gridCol w:w="726"/>
        <w:gridCol w:w="493"/>
        <w:gridCol w:w="75"/>
      </w:tblGrid>
      <w:tr>
        <w:trPr/>
        <w:tc>
          <w:tcPr>
            <w:tcW w:w="5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68" w:name="xdx_49C_20260331_zCCY6v0zLBsh"/>
            <w:bookmarkEnd w:id="668"/>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9" w:name="xdx_49C_20250930_z751fhwIOEYj"/>
            <w:bookmarkEnd w:id="669"/>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670" w:name="xdx_404_ecustom--EquityInvestmentsInMeas"/>
            <w:bookmarkEnd w:id="670"/>
          </w:p>
        </w:tc>
      </w:tr>
      <w:tr>
        <w:trPr/>
        <w:tc>
          <w:tcPr>
            <w:tcW w:w="5000" w:type="dxa"/>
            <w:tcBorders/>
            <w:shd w:fill="CCEEFF" w:val="clear"/>
            <w:vAlign w:val="center"/>
          </w:tcPr>
          <w:p>
            <w:pPr>
              <w:pStyle w:val="TableContents"/>
              <w:bidi w:val="0"/>
              <w:spacing w:before="0" w:after="283"/>
              <w:jc w:val="left"/>
              <w:rPr/>
            </w:pPr>
            <w:r>
              <w:rPr/>
              <w:t>Equity investment using the measurement alternative</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single" w:sz="8" w:space="0" w:color="000000"/>
            </w:tcBorders>
            <w:shd w:fill="CCEEFF" w:val="clear"/>
            <w:tcMar>
              <w:bottom w:w="28" w:type="dxa"/>
            </w:tcMar>
            <w:vAlign w:val="center"/>
          </w:tcPr>
          <w:p>
            <w:pPr>
              <w:pStyle w:val="TableContents"/>
              <w:bidi w:val="0"/>
              <w:spacing w:before="0" w:after="283"/>
              <w:jc w:val="right"/>
              <w:rPr/>
            </w:pPr>
            <w:r>
              <w:rPr/>
              <w:t>722,606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9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71" w:name="xdx_40E_eus-gaap--LongTermInvestments_iT"/>
            <w:bookmarkEnd w:id="671"/>
          </w:p>
        </w:tc>
      </w:tr>
      <w:tr>
        <w:trPr/>
        <w:tc>
          <w:tcPr>
            <w:tcW w:w="5000" w:type="dxa"/>
            <w:tcBorders/>
            <w:shd w:fill="FFFFFF" w:val="clear"/>
            <w:vAlign w:val="center"/>
          </w:tcPr>
          <w:p>
            <w:pPr>
              <w:pStyle w:val="TableContents"/>
              <w:bidi w:val="0"/>
              <w:spacing w:before="0" w:after="283"/>
              <w:jc w:val="left"/>
              <w:rPr>
                <w:b/>
              </w:rPr>
            </w:pPr>
            <w:r>
              <w:rPr>
                <w:b/>
              </w:rPr>
              <w:t>Long-term investment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722,606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49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72" w:name="xdx_8A9_zU4dXWGWdEv2"/>
      <w:bookmarkEnd w:id="67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long-term investment is consisted of an investment in Suzhou Kerun New Materials Co., Ltd. (“Suzhou Kerun”), which is accounted for using the measurement alternative.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Suzhou Kerun is a limited liability company incorporated on April 10, 2019, under the laws of PRC, engaged in new material technology services. On September 25, 2025, China Oil Hydrogen Energy acquired </w:t>
      </w:r>
      <w:bookmarkStart w:id="673" w:name="xdx_902_eus-gaap--EquityMethodInvestment"/>
      <w:bookmarkEnd w:id="673"/>
      <w:r>
        <w:rPr>
          <w:rFonts w:ascii="Times New Roman;Times;Serif" w:hAnsi="Times New Roman;Times;Serif"/>
          <w:b w:val="false"/>
          <w:i w:val="false"/>
          <w:caps w:val="false"/>
          <w:smallCaps w:val="false"/>
          <w:sz w:val="20"/>
        </w:rPr>
        <w:t xml:space="preserve">0.15% of the equity of Suzhou Kerun at a purchase price of RMB </w:t>
      </w:r>
      <w:bookmarkStart w:id="674" w:name="xdx_905_ecustom--LongtermInvestmentNet_i"/>
      <w:bookmarkEnd w:id="674"/>
      <w:r>
        <w:rPr>
          <w:rFonts w:ascii="Times New Roman;Times;Serif" w:hAnsi="Times New Roman;Times;Serif"/>
          <w:b w:val="false"/>
          <w:i w:val="false"/>
          <w:caps w:val="false"/>
          <w:smallCaps w:val="false"/>
          <w:sz w:val="20"/>
        </w:rPr>
        <w:t>5 million ($</w:t>
      </w:r>
      <w:bookmarkStart w:id="675" w:name="xdx_905_ecustom--LongtermInvestmentNet_i"/>
      <w:bookmarkEnd w:id="675"/>
      <w:r>
        <w:rPr>
          <w:rFonts w:ascii="Times New Roman;Times;Serif" w:hAnsi="Times New Roman;Times;Serif"/>
          <w:b w:val="false"/>
          <w:i w:val="false"/>
          <w:caps w:val="false"/>
          <w:smallCaps w:val="false"/>
          <w:sz w:val="20"/>
        </w:rPr>
        <w:t>722,606). Considering the Company does not participate in actual operation of Suzhou Kerun, its fair value cannot be determined. Based on this, the Company uses alternative accounting for this investment without readily determinable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recognized net investment income of </w:t>
      </w:r>
      <w:bookmarkStart w:id="676" w:name="xdx_902_eus-gaap--NetInvestmentIncome_dx"/>
      <w:bookmarkEnd w:id="676"/>
      <w:r>
        <w:rPr>
          <w:rFonts w:ascii="Times New Roman;Times;Serif" w:hAnsi="Times New Roman;Times;Serif"/>
          <w:b w:val="false"/>
          <w:i w:val="false"/>
          <w:caps w:val="false"/>
          <w:smallCaps w:val="false"/>
          <w:sz w:val="20"/>
        </w:rPr>
        <w:t>nil and $</w:t>
      </w:r>
      <w:bookmarkStart w:id="677" w:name="xdx_90E_eus-gaap--NetInvestmentIncome_c2"/>
      <w:bookmarkEnd w:id="677"/>
      <w:r>
        <w:rPr>
          <w:rFonts w:ascii="Times New Roman;Times;Serif" w:hAnsi="Times New Roman;Times;Serif"/>
          <w:b w:val="false"/>
          <w:i w:val="false"/>
          <w:caps w:val="false"/>
          <w:smallCaps w:val="false"/>
          <w:sz w:val="20"/>
        </w:rPr>
        <w:t>171,368 in its consolidated statements of operations and comprehensive income for the six months ended March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March 31, 2025, the investment income realized was attributable to long-term investments in Shuifu Yongcheng Technology Co., Ltd. (“Shuifu Yongcheng”) and Sichuan Hongzhuo Shuya Energy Co., Ltd. (“Hongzhuo Shuya), which were accounted for using the equity method. As of September 30, 2025, both investments were fully disposed and carried no balance on the books.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8" w:name="xdx_802_eus-gaap--PropertyPlantAndEquipm"/>
      <w:bookmarkEnd w:id="678"/>
      <w:r>
        <w:rPr>
          <w:rFonts w:ascii="Times New Roman;Times;Serif" w:hAnsi="Times New Roman;Times;Serif"/>
          <w:b/>
          <w:i w:val="false"/>
          <w:caps w:val="false"/>
          <w:smallCaps w:val="false"/>
          <w:sz w:val="20"/>
        </w:rPr>
        <w:t xml:space="preserve">NOTE 10 – </w:t>
      </w:r>
      <w:bookmarkStart w:id="679" w:name="xdx_82B_z4r2lNyHy3kj"/>
      <w:bookmarkEnd w:id="679"/>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0" w:name="xdx_89E_eus-gaap--PropertyPlantAndEquipm"/>
      <w:bookmarkEnd w:id="680"/>
      <w:r>
        <w:rPr>
          <w:rFonts w:ascii="Times New Roman;Times;Serif" w:hAnsi="Times New Roman;Times;Serif"/>
          <w:b w:val="false"/>
          <w:i w:val="false"/>
          <w:caps w:val="false"/>
          <w:smallCaps w:val="false"/>
          <w:sz w:val="20"/>
        </w:rPr>
        <w:t>Property and equipment, at cost less accumulated depreciation, consisted of the following:</w:t>
      </w:r>
    </w:p>
    <w:p>
      <w:pPr>
        <w:pStyle w:val="TextBody"/>
        <w:bidi w:val="0"/>
        <w:spacing w:before="0" w:after="0"/>
        <w:ind w:left="0" w:right="0" w:hanging="0"/>
        <w:jc w:val="both"/>
        <w:rPr>
          <w:caps w:val="false"/>
          <w:smallCaps w:val="false"/>
        </w:rPr>
      </w:pPr>
      <w:r>
        <w:rPr>
          <w:caps w:val="false"/>
          <w:smallCaps w:val="false"/>
        </w:rPr>
        <w:t> </w:t>
      </w:r>
      <w:bookmarkStart w:id="681" w:name="xdx_8B0_zO7E9GXrq1u8"/>
      <w:bookmarkEnd w:id="681"/>
      <w:r>
        <w:rPr>
          <w:rFonts w:ascii="Times New Roman;Times;Serif" w:hAnsi="Times New Roman;Times;Serif"/>
          <w:b w:val="false"/>
          <w:i w:val="false"/>
          <w:caps w:val="false"/>
          <w:smallCaps w:val="false"/>
          <w:sz w:val="20"/>
        </w:rPr>
        <w:t>SCHEDULE OF PROPERTY, PLANT, AND EQUIPMENT </w:t>
      </w:r>
    </w:p>
    <w:tbl>
      <w:tblPr>
        <w:tblW w:w="5783" w:type="dxa"/>
        <w:jc w:val="left"/>
        <w:tblInd w:w="0" w:type="dxa"/>
        <w:tblLayout w:type="fixed"/>
        <w:tblCellMar>
          <w:top w:w="0" w:type="dxa"/>
          <w:left w:w="0" w:type="dxa"/>
          <w:bottom w:w="0" w:type="dxa"/>
          <w:right w:w="0" w:type="dxa"/>
        </w:tblCellMar>
      </w:tblPr>
      <w:tblGrid>
        <w:gridCol w:w="2990"/>
        <w:gridCol w:w="60"/>
        <w:gridCol w:w="146"/>
        <w:gridCol w:w="1103"/>
        <w:gridCol w:w="95"/>
        <w:gridCol w:w="60"/>
        <w:gridCol w:w="142"/>
        <w:gridCol w:w="1077"/>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82" w:name="xdx_499_20260331_zHwJ83U25Rkf"/>
            <w:bookmarkEnd w:id="682"/>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3" w:name="xdx_49B_20250930_zX1btsxGtlf"/>
            <w:bookmarkEnd w:id="683"/>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684" w:name="xdx_40F_eus-gaap--PropertyPlantAndEquipm"/>
            <w:bookmarkEnd w:id="684"/>
          </w:p>
        </w:tc>
      </w:tr>
      <w:tr>
        <w:trPr/>
        <w:tc>
          <w:tcPr>
            <w:tcW w:w="2990" w:type="dxa"/>
            <w:tcBorders/>
            <w:shd w:fill="CCEEFF" w:val="clear"/>
            <w:vAlign w:val="center"/>
          </w:tcPr>
          <w:p>
            <w:pPr>
              <w:pStyle w:val="TableContents"/>
              <w:bidi w:val="0"/>
              <w:spacing w:before="0" w:after="283"/>
              <w:jc w:val="left"/>
              <w:rPr/>
            </w:pPr>
            <w:r>
              <w:rPr/>
              <w:t>Machinery and equipment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4,483,382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4,285,476</w:t>
            </w:r>
          </w:p>
        </w:tc>
        <w:tc>
          <w:tcPr>
            <w:tcW w:w="110" w:type="dxa"/>
            <w:tcBorders/>
            <w:shd w:fill="CCEEFF" w:val="clear"/>
            <w:vAlign w:val="center"/>
          </w:tcPr>
          <w:p>
            <w:pPr>
              <w:pStyle w:val="TableContents"/>
              <w:bidi w:val="0"/>
              <w:spacing w:before="0" w:after="283"/>
              <w:jc w:val="left"/>
              <w:rPr/>
            </w:pPr>
            <w:r>
              <w:rPr/>
              <w:t> </w:t>
            </w:r>
            <w:bookmarkStart w:id="685" w:name="xdx_407_eus-gaap--PropertyPlantAndEquipm"/>
            <w:bookmarkEnd w:id="685"/>
          </w:p>
        </w:tc>
      </w:tr>
      <w:tr>
        <w:trPr/>
        <w:tc>
          <w:tcPr>
            <w:tcW w:w="2990"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134,463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130,941</w:t>
            </w:r>
          </w:p>
        </w:tc>
        <w:tc>
          <w:tcPr>
            <w:tcW w:w="110" w:type="dxa"/>
            <w:tcBorders/>
            <w:shd w:fill="FFFFFF" w:val="clear"/>
            <w:vAlign w:val="center"/>
          </w:tcPr>
          <w:p>
            <w:pPr>
              <w:pStyle w:val="TableContents"/>
              <w:bidi w:val="0"/>
              <w:spacing w:before="0" w:after="283"/>
              <w:jc w:val="left"/>
              <w:rPr/>
            </w:pPr>
            <w:r>
              <w:rPr/>
              <w:t> </w:t>
            </w:r>
            <w:bookmarkStart w:id="686" w:name="xdx_40C_eus-gaap--PropertyPlantAndEquipm"/>
            <w:bookmarkEnd w:id="686"/>
          </w:p>
        </w:tc>
      </w:tr>
      <w:tr>
        <w:trPr/>
        <w:tc>
          <w:tcPr>
            <w:tcW w:w="2990"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506,254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541,512</w:t>
            </w:r>
          </w:p>
        </w:tc>
        <w:tc>
          <w:tcPr>
            <w:tcW w:w="110" w:type="dxa"/>
            <w:tcBorders/>
            <w:shd w:fill="CCEEFF" w:val="clear"/>
            <w:vAlign w:val="center"/>
          </w:tcPr>
          <w:p>
            <w:pPr>
              <w:pStyle w:val="TableContents"/>
              <w:bidi w:val="0"/>
              <w:spacing w:before="0" w:after="283"/>
              <w:jc w:val="left"/>
              <w:rPr/>
            </w:pPr>
            <w:r>
              <w:rPr/>
              <w:t> </w:t>
            </w:r>
            <w:bookmarkStart w:id="687" w:name="xdx_40F_eus-gaap--PropertyPlantAndEquipm"/>
            <w:bookmarkEnd w:id="687"/>
          </w:p>
        </w:tc>
      </w:tr>
      <w:tr>
        <w:trPr/>
        <w:tc>
          <w:tcPr>
            <w:tcW w:w="299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5,124,099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4,957,929</w:t>
            </w:r>
          </w:p>
        </w:tc>
        <w:tc>
          <w:tcPr>
            <w:tcW w:w="110" w:type="dxa"/>
            <w:tcBorders/>
            <w:shd w:fill="FFFFFF" w:val="clear"/>
            <w:vAlign w:val="center"/>
          </w:tcPr>
          <w:p>
            <w:pPr>
              <w:pStyle w:val="TableContents"/>
              <w:bidi w:val="0"/>
              <w:spacing w:before="0" w:after="283"/>
              <w:jc w:val="left"/>
              <w:rPr/>
            </w:pPr>
            <w:r>
              <w:rPr/>
              <w:t> </w:t>
            </w:r>
            <w:bookmarkStart w:id="688" w:name="xdx_405_eus-gaap--PropertyPlantAndEquipm"/>
            <w:bookmarkEnd w:id="688"/>
          </w:p>
        </w:tc>
      </w:tr>
      <w:tr>
        <w:trPr/>
        <w:tc>
          <w:tcPr>
            <w:tcW w:w="2990"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5,124,099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4,957,929</w:t>
            </w:r>
          </w:p>
        </w:tc>
        <w:tc>
          <w:tcPr>
            <w:tcW w:w="110" w:type="dxa"/>
            <w:tcBorders/>
            <w:shd w:fill="FFFFFF" w:val="clear"/>
            <w:vAlign w:val="center"/>
          </w:tcPr>
          <w:p>
            <w:pPr>
              <w:pStyle w:val="TableContents"/>
              <w:bidi w:val="0"/>
              <w:spacing w:before="0" w:after="283"/>
              <w:jc w:val="left"/>
              <w:rPr/>
            </w:pPr>
            <w:r>
              <w:rPr/>
              <w:t> </w:t>
            </w:r>
            <w:bookmarkStart w:id="689" w:name="xdx_401_eus-gaap--AccumulatedDepreciatio"/>
            <w:bookmarkEnd w:id="689"/>
          </w:p>
        </w:tc>
      </w:tr>
      <w:tr>
        <w:trPr/>
        <w:tc>
          <w:tcPr>
            <w:tcW w:w="2990"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(1,604,556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(1,492,976</w:t>
            </w:r>
          </w:p>
        </w:tc>
        <w:tc>
          <w:tcPr>
            <w:tcW w:w="110" w:type="dxa"/>
            <w:tcBorders/>
            <w:shd w:fill="CCEEFF" w:val="clear"/>
            <w:vAlign w:val="center"/>
          </w:tcPr>
          <w:p>
            <w:pPr>
              <w:pStyle w:val="TableContents"/>
              <w:bidi w:val="0"/>
              <w:spacing w:before="0" w:after="283"/>
              <w:jc w:val="left"/>
              <w:rPr/>
            </w:pPr>
            <w:r>
              <w:rPr/>
              <w:t>)</w:t>
            </w:r>
            <w:bookmarkStart w:id="690" w:name="xdx_40F_eus-gaap--PropertyPlantAndEquipm"/>
            <w:bookmarkEnd w:id="690"/>
          </w:p>
        </w:tc>
      </w:tr>
      <w:tr>
        <w:trPr/>
        <w:tc>
          <w:tcPr>
            <w:tcW w:w="2990"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3,519,543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3,464,953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91" w:name="xdx_8A1_zDIzPbnrWS69"/>
      <w:bookmarkEnd w:id="69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92" w:name="xdx_892_ecustom--ScheduleOfMachineryAndE"/>
      <w:bookmarkEnd w:id="692"/>
      <w:r>
        <w:rPr>
          <w:rFonts w:ascii="Times New Roman;Times;Serif" w:hAnsi="Times New Roman;Times;Serif"/>
          <w:b w:val="false"/>
          <w:i w:val="false"/>
          <w:caps w:val="false"/>
          <w:smallCaps w:val="false"/>
          <w:sz w:val="20"/>
        </w:rPr>
        <w:t>The movement of machinery and equipment was presented in the following table: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93" w:name="xdx_8B3_zCe1YTUVo7Pj"/>
      <w:bookmarkEnd w:id="693"/>
      <w:r>
        <w:rPr>
          <w:rFonts w:ascii="Times New Roman;Times;Serif" w:hAnsi="Times New Roman;Times;Serif"/>
          <w:b w:val="false"/>
          <w:i w:val="false"/>
          <w:caps w:val="false"/>
          <w:smallCaps w:val="false"/>
          <w:sz w:val="20"/>
        </w:rPr>
        <w:t>SCHEDULE MOVEMENT OF MACHINERY AND EQUIPMENT </w:t>
      </w:r>
    </w:p>
    <w:tbl>
      <w:tblPr>
        <w:tblW w:w="6533" w:type="dxa"/>
        <w:jc w:val="left"/>
        <w:tblInd w:w="0" w:type="dxa"/>
        <w:tblLayout w:type="fixed"/>
        <w:tblCellMar>
          <w:top w:w="0" w:type="dxa"/>
          <w:left w:w="0" w:type="dxa"/>
          <w:bottom w:w="0" w:type="dxa"/>
          <w:right w:w="0" w:type="dxa"/>
        </w:tblCellMar>
      </w:tblPr>
      <w:tblGrid>
        <w:gridCol w:w="3740"/>
        <w:gridCol w:w="60"/>
        <w:gridCol w:w="155"/>
        <w:gridCol w:w="1094"/>
        <w:gridCol w:w="95"/>
        <w:gridCol w:w="60"/>
        <w:gridCol w:w="142"/>
        <w:gridCol w:w="1077"/>
        <w:gridCol w:w="110"/>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4" w:name="xdx_494_20251001__20260331_zsM6VH5uLkE4"/>
            <w:bookmarkEnd w:id="694"/>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5" w:name="xdx_49B_20241001__20250930_zML9VhzCdXEe"/>
            <w:bookmarkEnd w:id="695"/>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696" w:name="xdx_409_eus-gaap--MachineryAndEquipmentG"/>
            <w:bookmarkEnd w:id="696"/>
          </w:p>
        </w:tc>
      </w:tr>
      <w:tr>
        <w:trPr/>
        <w:tc>
          <w:tcPr>
            <w:tcW w:w="3740" w:type="dxa"/>
            <w:tcBorders/>
            <w:shd w:fill="CCEEFF" w:val="clear"/>
            <w:vAlign w:val="center"/>
          </w:tcPr>
          <w:p>
            <w:pPr>
              <w:pStyle w:val="TableContents"/>
              <w:bidi w:val="0"/>
              <w:spacing w:before="0" w:after="283"/>
              <w:jc w:val="left"/>
              <w:rPr/>
            </w:pPr>
            <w:r>
              <w:rPr/>
              <w:t>Balance at the beginning of the period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4,285,476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4,877,172</w:t>
            </w:r>
          </w:p>
        </w:tc>
        <w:tc>
          <w:tcPr>
            <w:tcW w:w="110" w:type="dxa"/>
            <w:tcBorders/>
            <w:shd w:fill="CCEEFF" w:val="clear"/>
            <w:vAlign w:val="center"/>
          </w:tcPr>
          <w:p>
            <w:pPr>
              <w:pStyle w:val="TableContents"/>
              <w:bidi w:val="0"/>
              <w:spacing w:before="0" w:after="283"/>
              <w:jc w:val="left"/>
              <w:rPr/>
            </w:pPr>
            <w:r>
              <w:rPr/>
              <w:t> </w:t>
            </w:r>
            <w:bookmarkStart w:id="697" w:name="xdx_401_ecustom--PropertyPlantAndEquipme"/>
            <w:bookmarkEnd w:id="697"/>
          </w:p>
        </w:tc>
      </w:tr>
      <w:tr>
        <w:trPr/>
        <w:tc>
          <w:tcPr>
            <w:tcW w:w="3740" w:type="dxa"/>
            <w:tcBorders/>
            <w:shd w:fill="FFFFFF" w:val="clear"/>
            <w:vAlign w:val="center"/>
          </w:tcPr>
          <w:p>
            <w:pPr>
              <w:pStyle w:val="TableContents"/>
              <w:bidi w:val="0"/>
              <w:spacing w:before="0" w:after="283"/>
              <w:jc w:val="left"/>
              <w:rPr/>
            </w:pPr>
            <w:r>
              <w:rPr/>
              <w:t>Purchases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142,700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83,704</w:t>
            </w:r>
          </w:p>
        </w:tc>
        <w:tc>
          <w:tcPr>
            <w:tcW w:w="110" w:type="dxa"/>
            <w:tcBorders/>
            <w:shd w:fill="FFFFFF" w:val="clear"/>
            <w:vAlign w:val="center"/>
          </w:tcPr>
          <w:p>
            <w:pPr>
              <w:pStyle w:val="TableContents"/>
              <w:bidi w:val="0"/>
              <w:spacing w:before="0" w:after="283"/>
              <w:jc w:val="left"/>
              <w:rPr/>
            </w:pPr>
            <w:r>
              <w:rPr/>
              <w:t> </w:t>
            </w:r>
            <w:bookmarkStart w:id="698" w:name="xdx_401_ecustom--EquipmentTransferredFro"/>
            <w:bookmarkEnd w:id="698"/>
          </w:p>
        </w:tc>
      </w:tr>
      <w:tr>
        <w:trPr/>
        <w:tc>
          <w:tcPr>
            <w:tcW w:w="3740" w:type="dxa"/>
            <w:tcBorders/>
            <w:shd w:fill="CCEEFF" w:val="clear"/>
            <w:vAlign w:val="center"/>
          </w:tcPr>
          <w:p>
            <w:pPr>
              <w:pStyle w:val="TableContents"/>
              <w:bidi w:val="0"/>
              <w:spacing w:before="0" w:after="283"/>
              <w:jc w:val="left"/>
              <w:rPr/>
            </w:pPr>
            <w:r>
              <w:rPr/>
              <w:t>Equipment transferred from inventories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354,795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448,686</w:t>
            </w:r>
          </w:p>
        </w:tc>
        <w:tc>
          <w:tcPr>
            <w:tcW w:w="110" w:type="dxa"/>
            <w:tcBorders/>
            <w:shd w:fill="CCEEFF" w:val="clear"/>
            <w:vAlign w:val="center"/>
          </w:tcPr>
          <w:p>
            <w:pPr>
              <w:pStyle w:val="TableContents"/>
              <w:bidi w:val="0"/>
              <w:spacing w:before="0" w:after="283"/>
              <w:jc w:val="left"/>
              <w:rPr/>
            </w:pPr>
            <w:r>
              <w:rPr/>
              <w:t> </w:t>
            </w:r>
            <w:bookmarkStart w:id="699" w:name="xdx_40D_eus-gaap--PropertyPlantAndEquipm"/>
            <w:bookmarkEnd w:id="699"/>
          </w:p>
        </w:tc>
      </w:tr>
      <w:tr>
        <w:trPr/>
        <w:tc>
          <w:tcPr>
            <w:tcW w:w="3740" w:type="dxa"/>
            <w:tcBorders/>
            <w:shd w:fill="FFFFFF" w:val="clear"/>
            <w:vAlign w:val="center"/>
          </w:tcPr>
          <w:p>
            <w:pPr>
              <w:pStyle w:val="TableContents"/>
              <w:bidi w:val="0"/>
              <w:spacing w:before="0" w:after="283"/>
              <w:jc w:val="left"/>
              <w:rPr/>
            </w:pPr>
            <w:r>
              <w:rPr/>
              <w:t>Disposals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(414,848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(1,056,751</w:t>
            </w:r>
          </w:p>
        </w:tc>
        <w:tc>
          <w:tcPr>
            <w:tcW w:w="110" w:type="dxa"/>
            <w:tcBorders/>
            <w:shd w:fill="FFFFFF" w:val="clear"/>
            <w:vAlign w:val="center"/>
          </w:tcPr>
          <w:p>
            <w:pPr>
              <w:pStyle w:val="TableContents"/>
              <w:bidi w:val="0"/>
              <w:spacing w:before="0" w:after="283"/>
              <w:jc w:val="left"/>
              <w:rPr/>
            </w:pPr>
            <w:r>
              <w:rPr/>
              <w:t>)</w:t>
            </w:r>
            <w:bookmarkStart w:id="700" w:name="xdx_408_ecustom--PropertyPlantAndEquipme"/>
            <w:bookmarkEnd w:id="700"/>
          </w:p>
        </w:tc>
      </w:tr>
      <w:tr>
        <w:trPr/>
        <w:tc>
          <w:tcPr>
            <w:tcW w:w="3740"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115,259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(67,335</w:t>
            </w:r>
          </w:p>
        </w:tc>
        <w:tc>
          <w:tcPr>
            <w:tcW w:w="110" w:type="dxa"/>
            <w:tcBorders/>
            <w:shd w:fill="CCEEFF" w:val="clear"/>
            <w:vAlign w:val="center"/>
          </w:tcPr>
          <w:p>
            <w:pPr>
              <w:pStyle w:val="TableContents"/>
              <w:bidi w:val="0"/>
              <w:spacing w:before="0" w:after="283"/>
              <w:jc w:val="left"/>
              <w:rPr/>
            </w:pPr>
            <w:r>
              <w:rPr/>
              <w:t>)</w:t>
            </w:r>
            <w:bookmarkStart w:id="701" w:name="xdx_40C_eus-gaap--MachineryAndEquipmentG"/>
            <w:bookmarkEnd w:id="701"/>
          </w:p>
        </w:tc>
      </w:tr>
      <w:tr>
        <w:trPr/>
        <w:tc>
          <w:tcPr>
            <w:tcW w:w="3740" w:type="dxa"/>
            <w:tcBorders/>
            <w:shd w:fill="FFFFFF" w:val="clear"/>
            <w:vAlign w:val="center"/>
          </w:tcPr>
          <w:p>
            <w:pPr>
              <w:pStyle w:val="TableContents"/>
              <w:bidi w:val="0"/>
              <w:spacing w:before="0" w:after="283"/>
              <w:jc w:val="left"/>
              <w:rPr>
                <w:b/>
              </w:rPr>
            </w:pPr>
            <w:r>
              <w:rPr>
                <w:b/>
              </w:rPr>
              <w:t>Balance at the end of the period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4,483,382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4,285,476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02" w:name="xdx_8A4_zVMgfQOlS92d"/>
      <w:bookmarkEnd w:id="70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and 2025, depreciation was $</w:t>
      </w:r>
      <w:bookmarkStart w:id="703" w:name="xdx_905_eus-gaap--Depreciation_c20251001"/>
      <w:bookmarkEnd w:id="703"/>
      <w:r>
        <w:rPr>
          <w:rFonts w:ascii="Times New Roman;Times;Serif" w:hAnsi="Times New Roman;Times;Serif"/>
          <w:b w:val="false"/>
          <w:i w:val="false"/>
          <w:caps w:val="false"/>
          <w:smallCaps w:val="false"/>
          <w:sz w:val="20"/>
        </w:rPr>
        <w:t>254,598 and $</w:t>
      </w:r>
      <w:bookmarkStart w:id="704" w:name="xdx_908_eus-gaap--Depreciation_c20241001"/>
      <w:bookmarkEnd w:id="704"/>
      <w:r>
        <w:rPr>
          <w:rFonts w:ascii="Times New Roman;Times;Serif" w:hAnsi="Times New Roman;Times;Serif"/>
          <w:b w:val="false"/>
          <w:i w:val="false"/>
          <w:caps w:val="false"/>
          <w:smallCaps w:val="false"/>
          <w:sz w:val="20"/>
        </w:rPr>
        <w:t>228,303,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5" w:name="xdx_804_eus-gaap--IntangibleAssetsDisclo"/>
      <w:bookmarkEnd w:id="705"/>
      <w:r>
        <w:rPr>
          <w:rFonts w:ascii="Times New Roman;Times;Serif" w:hAnsi="Times New Roman;Times;Serif"/>
          <w:b/>
          <w:i w:val="false"/>
          <w:caps w:val="false"/>
          <w:smallCaps w:val="false"/>
          <w:sz w:val="20"/>
        </w:rPr>
        <w:t xml:space="preserve">NOTE 11 – </w:t>
      </w:r>
      <w:bookmarkStart w:id="706" w:name="xdx_82F_zudZNCaGjkNk"/>
      <w:bookmarkEnd w:id="706"/>
      <w:r>
        <w:rPr>
          <w:rFonts w:ascii="Times New Roman;Times;Serif" w:hAnsi="Times New Roman;Times;Serif"/>
          <w:b/>
          <w:i w:val="false"/>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7" w:name="xdx_89D_eus-gaap--ScheduleOfFiniteLivedI"/>
      <w:bookmarkEnd w:id="707"/>
      <w:r>
        <w:rPr>
          <w:rFonts w:ascii="Times New Roman;Times;Serif" w:hAnsi="Times New Roman;Times;Serif"/>
          <w:b w:val="false"/>
          <w:i w:val="false"/>
          <w:caps w:val="false"/>
          <w:smallCaps w:val="false"/>
          <w:sz w:val="20"/>
        </w:rPr>
        <w:t>Intangible assets, net consisted of the following:</w:t>
      </w:r>
    </w:p>
    <w:p>
      <w:pPr>
        <w:pStyle w:val="TextBody"/>
        <w:bidi w:val="0"/>
        <w:spacing w:before="0" w:after="0"/>
        <w:ind w:left="0" w:right="0" w:hanging="0"/>
        <w:jc w:val="both"/>
        <w:rPr>
          <w:caps w:val="false"/>
          <w:smallCaps w:val="false"/>
        </w:rPr>
      </w:pPr>
      <w:r>
        <w:rPr>
          <w:caps w:val="false"/>
          <w:smallCaps w:val="false"/>
        </w:rPr>
        <w:t> </w:t>
      </w:r>
      <w:bookmarkStart w:id="708" w:name="xdx_8BB_z8vls7OHhCUi"/>
      <w:bookmarkEnd w:id="708"/>
      <w:r>
        <w:rPr>
          <w:rFonts w:ascii="Times New Roman;Times;Serif" w:hAnsi="Times New Roman;Times;Serif"/>
          <w:b w:val="false"/>
          <w:i w:val="false"/>
          <w:caps w:val="false"/>
          <w:smallCaps w:val="false"/>
          <w:sz w:val="20"/>
        </w:rPr>
        <w:t>SCHEDULE OF INTANGIBLE ASSETS </w:t>
      </w:r>
    </w:p>
    <w:tbl>
      <w:tblPr>
        <w:tblW w:w="5798" w:type="dxa"/>
        <w:jc w:val="left"/>
        <w:tblInd w:w="0" w:type="dxa"/>
        <w:tblLayout w:type="fixed"/>
        <w:tblCellMar>
          <w:top w:w="0" w:type="dxa"/>
          <w:left w:w="0" w:type="dxa"/>
          <w:bottom w:w="0" w:type="dxa"/>
          <w:right w:w="0" w:type="dxa"/>
        </w:tblCellMar>
      </w:tblPr>
      <w:tblGrid>
        <w:gridCol w:w="3005"/>
        <w:gridCol w:w="60"/>
        <w:gridCol w:w="186"/>
        <w:gridCol w:w="1063"/>
        <w:gridCol w:w="95"/>
        <w:gridCol w:w="60"/>
        <w:gridCol w:w="181"/>
        <w:gridCol w:w="1038"/>
        <w:gridCol w:w="110"/>
      </w:tblGrid>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09" w:name="xdx_49E_20260331_zyH5cjL8dO81"/>
            <w:bookmarkEnd w:id="709"/>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10" w:name="xdx_492_20250930_zJRW1M2GnGh6"/>
            <w:bookmarkEnd w:id="710"/>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711" w:name="xdx_400_eus-gaap--FiniteLivedIntangibleA"/>
            <w:bookmarkEnd w:id="711"/>
          </w:p>
        </w:tc>
      </w:tr>
      <w:tr>
        <w:trPr/>
        <w:tc>
          <w:tcPr>
            <w:tcW w:w="3005" w:type="dxa"/>
            <w:tcBorders/>
            <w:shd w:fill="CCEEFF" w:val="clear"/>
            <w:vAlign w:val="center"/>
          </w:tcPr>
          <w:p>
            <w:pPr>
              <w:pStyle w:val="TableContents"/>
              <w:bidi w:val="0"/>
              <w:spacing w:before="0" w:after="283"/>
              <w:jc w:val="left"/>
              <w:rPr/>
            </w:pPr>
            <w:r>
              <w:rPr/>
              <w:t>Software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168,043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163,642</w:t>
            </w:r>
          </w:p>
        </w:tc>
        <w:tc>
          <w:tcPr>
            <w:tcW w:w="110" w:type="dxa"/>
            <w:tcBorders/>
            <w:shd w:fill="CCEEFF" w:val="clear"/>
            <w:vAlign w:val="center"/>
          </w:tcPr>
          <w:p>
            <w:pPr>
              <w:pStyle w:val="TableContents"/>
              <w:bidi w:val="0"/>
              <w:spacing w:before="0" w:after="283"/>
              <w:jc w:val="left"/>
              <w:rPr/>
            </w:pPr>
            <w:r>
              <w:rPr/>
              <w:t> </w:t>
            </w:r>
            <w:bookmarkStart w:id="712" w:name="xdx_40F_eus-gaap--FiniteLivedIntangibleA"/>
            <w:bookmarkEnd w:id="712"/>
          </w:p>
        </w:tc>
      </w:tr>
      <w:tr>
        <w:trPr/>
        <w:tc>
          <w:tcPr>
            <w:tcW w:w="300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(51,399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pPr>
            <w:r>
              <w:rPr/>
              <w:t>(41,871</w:t>
            </w:r>
          </w:p>
        </w:tc>
        <w:tc>
          <w:tcPr>
            <w:tcW w:w="110" w:type="dxa"/>
            <w:tcBorders/>
            <w:shd w:fill="FFFFFF" w:val="clear"/>
            <w:vAlign w:val="center"/>
          </w:tcPr>
          <w:p>
            <w:pPr>
              <w:pStyle w:val="TableContents"/>
              <w:bidi w:val="0"/>
              <w:spacing w:before="0" w:after="283"/>
              <w:jc w:val="left"/>
              <w:rPr/>
            </w:pPr>
            <w:r>
              <w:rPr/>
              <w:t>)</w:t>
            </w:r>
            <w:bookmarkStart w:id="713" w:name="xdx_407_eus-gaap--FiniteLivedIntangibleA"/>
            <w:bookmarkEnd w:id="713"/>
          </w:p>
        </w:tc>
      </w:tr>
      <w:tr>
        <w:trPr/>
        <w:tc>
          <w:tcPr>
            <w:tcW w:w="3005" w:type="dxa"/>
            <w:tcBorders/>
            <w:shd w:fill="CCEEFF" w:val="clear"/>
            <w:vAlign w:val="center"/>
          </w:tcPr>
          <w:p>
            <w:pPr>
              <w:pStyle w:val="TableContents"/>
              <w:bidi w:val="0"/>
              <w:spacing w:before="0" w:after="283"/>
              <w:jc w:val="left"/>
              <w:rPr>
                <w:b/>
              </w:rPr>
            </w:pPr>
            <w:r>
              <w:rPr>
                <w:b/>
              </w:rPr>
              <w:t>Intangible assets, net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116,644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121,771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4" w:name="xdx_8A9_z4vb6JkN7K37"/>
      <w:bookmarkEnd w:id="7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and 2025, amortization was $</w:t>
      </w:r>
      <w:bookmarkStart w:id="715" w:name="xdx_907_eus-gaap--AdjustmentForAmortizat"/>
      <w:bookmarkEnd w:id="715"/>
      <w:r>
        <w:rPr>
          <w:rFonts w:ascii="Times New Roman;Times;Serif" w:hAnsi="Times New Roman;Times;Serif"/>
          <w:b w:val="false"/>
          <w:i w:val="false"/>
          <w:caps w:val="false"/>
          <w:smallCaps w:val="false"/>
          <w:sz w:val="20"/>
        </w:rPr>
        <w:t>8,287 and $</w:t>
      </w:r>
      <w:bookmarkStart w:id="716" w:name="xdx_907_eus-gaap--AdjustmentForAmortizat"/>
      <w:bookmarkEnd w:id="716"/>
      <w:r>
        <w:rPr>
          <w:rFonts w:ascii="Times New Roman;Times;Serif" w:hAnsi="Times New Roman;Times;Serif"/>
          <w:b w:val="false"/>
          <w:i w:val="false"/>
          <w:caps w:val="false"/>
          <w:smallCaps w:val="false"/>
          <w:sz w:val="20"/>
        </w:rPr>
        <w:t>8,112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7" w:name="xdx_809_ecustom--LoansReceivablesDisclos"/>
      <w:bookmarkEnd w:id="717"/>
      <w:r>
        <w:rPr>
          <w:rFonts w:ascii="Times New Roman;Times;Serif" w:hAnsi="Times New Roman;Times;Serif"/>
          <w:b/>
          <w:i w:val="false"/>
          <w:caps w:val="false"/>
          <w:smallCaps w:val="false"/>
          <w:sz w:val="20"/>
        </w:rPr>
        <w:t xml:space="preserve">NOTE 12 – </w:t>
      </w:r>
      <w:bookmarkStart w:id="718" w:name="xdx_82A_zhcIXFJfC3Yh"/>
      <w:bookmarkEnd w:id="718"/>
      <w:r>
        <w:rPr>
          <w:rFonts w:ascii="Times New Roman;Times;Serif" w:hAnsi="Times New Roman;Times;Serif"/>
          <w:b/>
          <w:i w:val="false"/>
          <w:caps w:val="false"/>
          <w:smallCaps w:val="false"/>
          <w:sz w:val="20"/>
        </w:rPr>
        <w:t>LOANS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19" w:name="xdx_893_ecustom--ScheduleOfLoansReceivab"/>
      <w:bookmarkEnd w:id="719"/>
      <w:r>
        <w:rPr>
          <w:rFonts w:ascii="Times New Roman;Times;Serif" w:hAnsi="Times New Roman;Times;Serif"/>
          <w:b w:val="false"/>
          <w:i w:val="false"/>
          <w:caps w:val="false"/>
          <w:smallCaps w:val="false"/>
          <w:sz w:val="20"/>
        </w:rPr>
        <w:t>Loans receivable consisted of the following:</w:t>
      </w:r>
    </w:p>
    <w:p>
      <w:pPr>
        <w:pStyle w:val="TextBody"/>
        <w:bidi w:val="0"/>
        <w:spacing w:before="0" w:after="0"/>
        <w:ind w:left="0" w:right="0" w:hanging="0"/>
        <w:jc w:val="both"/>
        <w:rPr>
          <w:caps w:val="false"/>
          <w:smallCaps w:val="false"/>
        </w:rPr>
      </w:pPr>
      <w:r>
        <w:rPr>
          <w:caps w:val="false"/>
          <w:smallCaps w:val="false"/>
        </w:rPr>
        <w:t> </w:t>
      </w:r>
      <w:bookmarkStart w:id="720" w:name="xdx_8BC_zvLSWdRHoyqi"/>
      <w:bookmarkEnd w:id="720"/>
      <w:r>
        <w:rPr>
          <w:rFonts w:ascii="Times New Roman;Times;Serif" w:hAnsi="Times New Roman;Times;Serif"/>
          <w:b w:val="false"/>
          <w:i w:val="false"/>
          <w:caps w:val="false"/>
          <w:smallCaps w:val="false"/>
          <w:sz w:val="20"/>
        </w:rPr>
        <w:t>SCHEDULE OF LOAN RECEIVABLE </w:t>
      </w:r>
    </w:p>
    <w:tbl>
      <w:tblPr>
        <w:tblW w:w="9853" w:type="dxa"/>
        <w:jc w:val="left"/>
        <w:tblInd w:w="0" w:type="dxa"/>
        <w:tblLayout w:type="fixed"/>
        <w:tblCellMar>
          <w:top w:w="0" w:type="dxa"/>
          <w:left w:w="0" w:type="dxa"/>
          <w:bottom w:w="0" w:type="dxa"/>
          <w:right w:w="0" w:type="dxa"/>
        </w:tblCellMar>
      </w:tblPr>
      <w:tblGrid>
        <w:gridCol w:w="7130"/>
        <w:gridCol w:w="60"/>
        <w:gridCol w:w="155"/>
        <w:gridCol w:w="1094"/>
        <w:gridCol w:w="60"/>
        <w:gridCol w:w="60"/>
        <w:gridCol w:w="152"/>
        <w:gridCol w:w="1067"/>
        <w:gridCol w:w="75"/>
      </w:tblGrid>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21" w:name="xdx_49B_20260331_zT9Hns2lkLz4"/>
            <w:bookmarkEnd w:id="721"/>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2" w:name="xdx_499_20250930_z67NFQTuYzme"/>
            <w:bookmarkEnd w:id="722"/>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723" w:name="xdx_406_ecustom--LoansReceivable_iI_hus-"/>
            <w:bookmarkEnd w:id="723"/>
          </w:p>
        </w:tc>
      </w:tr>
      <w:tr>
        <w:trPr/>
        <w:tc>
          <w:tcPr>
            <w:tcW w:w="7130" w:type="dxa"/>
            <w:tcBorders/>
            <w:shd w:fill="CCEEFF" w:val="clear"/>
            <w:vAlign w:val="center"/>
          </w:tcPr>
          <w:p>
            <w:pPr>
              <w:pStyle w:val="TableContents"/>
              <w:bidi w:val="0"/>
              <w:spacing w:before="0" w:after="283"/>
              <w:jc w:val="left"/>
              <w:rPr/>
            </w:pPr>
            <w:r>
              <w:rPr/>
              <w:t xml:space="preserve">Polar Petroleum Equipment (Shandong) Co., Ltd (“Polar”) </w:t>
            </w:r>
            <w:bookmarkStart w:id="724" w:name="xdx_F4C_zuyyBDtRQh95"/>
            <w:bookmarkEnd w:id="724"/>
            <w:r>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867,127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844,416</w:t>
            </w:r>
          </w:p>
        </w:tc>
        <w:tc>
          <w:tcPr>
            <w:tcW w:w="75" w:type="dxa"/>
            <w:tcBorders/>
            <w:shd w:fill="CCEEFF" w:val="clear"/>
            <w:vAlign w:val="center"/>
          </w:tcPr>
          <w:p>
            <w:pPr>
              <w:pStyle w:val="TableContents"/>
              <w:bidi w:val="0"/>
              <w:spacing w:before="0" w:after="283"/>
              <w:jc w:val="left"/>
              <w:rPr/>
            </w:pPr>
            <w:r>
              <w:rPr/>
              <w:t> </w:t>
            </w:r>
            <w:bookmarkStart w:id="725" w:name="xdx_409_ecustom--LoansReceivable_iI_hus-"/>
            <w:bookmarkEnd w:id="725"/>
          </w:p>
        </w:tc>
      </w:tr>
      <w:tr>
        <w:trPr/>
        <w:tc>
          <w:tcPr>
            <w:tcW w:w="7130" w:type="dxa"/>
            <w:tcBorders/>
            <w:shd w:fill="FFFFFF" w:val="clear"/>
            <w:vAlign w:val="center"/>
          </w:tcPr>
          <w:p>
            <w:pPr>
              <w:pStyle w:val="TableContents"/>
              <w:bidi w:val="0"/>
              <w:spacing w:before="0" w:after="283"/>
              <w:jc w:val="left"/>
              <w:rPr/>
            </w:pPr>
            <w:r>
              <w:rPr/>
              <w:t xml:space="preserve">Sichuan TIBO Fluid Technology Co., Ltd. (“Sichuan TIBO”) </w:t>
            </w:r>
            <w:bookmarkStart w:id="726" w:name="xdx_F4D_zlc2gm0qMZ"/>
            <w:bookmarkEnd w:id="726"/>
            <w:r>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1,098,361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1,069,596</w:t>
            </w:r>
          </w:p>
        </w:tc>
        <w:tc>
          <w:tcPr>
            <w:tcW w:w="75" w:type="dxa"/>
            <w:tcBorders/>
            <w:shd w:fill="FFFFFF" w:val="clear"/>
            <w:vAlign w:val="center"/>
          </w:tcPr>
          <w:p>
            <w:pPr>
              <w:pStyle w:val="TableContents"/>
              <w:bidi w:val="0"/>
              <w:spacing w:before="0" w:after="283"/>
              <w:jc w:val="left"/>
              <w:rPr/>
            </w:pPr>
            <w:r>
              <w:rPr/>
              <w:t> </w:t>
            </w:r>
            <w:bookmarkStart w:id="727" w:name="xdx_40D_ecustom--LoansReceivable_iI_hus-"/>
            <w:bookmarkEnd w:id="727"/>
          </w:p>
        </w:tc>
      </w:tr>
      <w:tr>
        <w:trPr/>
        <w:tc>
          <w:tcPr>
            <w:tcW w:w="7130" w:type="dxa"/>
            <w:tcBorders/>
            <w:shd w:fill="CCEEFF" w:val="clear"/>
            <w:vAlign w:val="center"/>
          </w:tcPr>
          <w:p>
            <w:pPr>
              <w:pStyle w:val="TableContents"/>
              <w:bidi w:val="0"/>
              <w:spacing w:before="0" w:after="283"/>
              <w:jc w:val="left"/>
              <w:rPr/>
            </w:pPr>
            <w:r>
              <w:rPr/>
              <w:t xml:space="preserve">Jining Eni Energy Technology Co., Ltd (“Eni Energy”) </w:t>
            </w:r>
            <w:bookmarkStart w:id="728" w:name="xdx_F43_zb8KTm4Dgfm9"/>
            <w:bookmarkEnd w:id="728"/>
            <w:r>
              <w:rPr/>
              <w:t>(3)</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289,042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281,472</w:t>
            </w:r>
          </w:p>
        </w:tc>
        <w:tc>
          <w:tcPr>
            <w:tcW w:w="75" w:type="dxa"/>
            <w:tcBorders/>
            <w:shd w:fill="CCEEFF" w:val="clear"/>
            <w:vAlign w:val="center"/>
          </w:tcPr>
          <w:p>
            <w:pPr>
              <w:pStyle w:val="TableContents"/>
              <w:bidi w:val="0"/>
              <w:spacing w:before="0" w:after="283"/>
              <w:jc w:val="left"/>
              <w:rPr/>
            </w:pPr>
            <w:r>
              <w:rPr/>
              <w:t> </w:t>
            </w:r>
            <w:bookmarkStart w:id="729" w:name="xdx_402_ecustom--LoansReceivable_iI_hus-"/>
            <w:bookmarkEnd w:id="729"/>
          </w:p>
        </w:tc>
      </w:tr>
      <w:tr>
        <w:trPr/>
        <w:tc>
          <w:tcPr>
            <w:tcW w:w="7130" w:type="dxa"/>
            <w:tcBorders/>
            <w:shd w:fill="FFFFFF" w:val="clear"/>
            <w:vAlign w:val="center"/>
          </w:tcPr>
          <w:p>
            <w:pPr>
              <w:pStyle w:val="TableContents"/>
              <w:bidi w:val="0"/>
              <w:spacing w:before="0" w:after="283"/>
              <w:jc w:val="left"/>
              <w:rPr/>
            </w:pPr>
            <w:r>
              <w:rPr/>
              <w:t xml:space="preserve">Xianlong Technology (Beijing) Co., Ltd. (“Xianlong”) </w:t>
            </w:r>
            <w:bookmarkStart w:id="730" w:name="xdx_F41_z0fJ6QVjC0ja"/>
            <w:bookmarkEnd w:id="730"/>
            <w:r>
              <w:rPr/>
              <w:t>(4)</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578,085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1,401,731</w:t>
            </w:r>
          </w:p>
        </w:tc>
        <w:tc>
          <w:tcPr>
            <w:tcW w:w="75" w:type="dxa"/>
            <w:tcBorders/>
            <w:shd w:fill="FFFFFF" w:val="clear"/>
            <w:vAlign w:val="center"/>
          </w:tcPr>
          <w:p>
            <w:pPr>
              <w:pStyle w:val="TableContents"/>
              <w:bidi w:val="0"/>
              <w:spacing w:before="0" w:after="283"/>
              <w:jc w:val="left"/>
              <w:rPr/>
            </w:pPr>
            <w:r>
              <w:rPr/>
              <w:t> </w:t>
            </w:r>
            <w:bookmarkStart w:id="731" w:name="xdx_405_ecustom--LoansReceivable_iI_hus-"/>
            <w:bookmarkEnd w:id="731"/>
          </w:p>
        </w:tc>
      </w:tr>
      <w:tr>
        <w:trPr/>
        <w:tc>
          <w:tcPr>
            <w:tcW w:w="7130" w:type="dxa"/>
            <w:tcBorders/>
            <w:shd w:fill="CCEEFF" w:val="clear"/>
            <w:vAlign w:val="center"/>
          </w:tcPr>
          <w:p>
            <w:pPr>
              <w:pStyle w:val="TableContents"/>
              <w:bidi w:val="0"/>
              <w:spacing w:before="0" w:after="283"/>
              <w:jc w:val="left"/>
              <w:rPr/>
            </w:pPr>
            <w:r>
              <w:rPr/>
              <w:t xml:space="preserve">Beijing Youyi Natural Technology Co., Ltd. (“Beijing Youyi”) </w:t>
            </w:r>
            <w:bookmarkStart w:id="732" w:name="xdx_F43_zzFFFfXmWer9"/>
            <w:bookmarkEnd w:id="732"/>
            <w:r>
              <w:rPr/>
              <w:t>(5)</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121,398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267,398</w:t>
            </w:r>
          </w:p>
        </w:tc>
        <w:tc>
          <w:tcPr>
            <w:tcW w:w="75" w:type="dxa"/>
            <w:tcBorders/>
            <w:shd w:fill="CCEEFF" w:val="clear"/>
            <w:vAlign w:val="center"/>
          </w:tcPr>
          <w:p>
            <w:pPr>
              <w:pStyle w:val="TableContents"/>
              <w:bidi w:val="0"/>
              <w:spacing w:before="0" w:after="283"/>
              <w:jc w:val="left"/>
              <w:rPr/>
            </w:pPr>
            <w:r>
              <w:rPr/>
              <w:t> </w:t>
            </w:r>
            <w:bookmarkStart w:id="733" w:name="xdx_40F_ecustom--LoansReceivable_iI_hus-"/>
            <w:bookmarkEnd w:id="733"/>
          </w:p>
        </w:tc>
      </w:tr>
      <w:tr>
        <w:trPr/>
        <w:tc>
          <w:tcPr>
            <w:tcW w:w="7130" w:type="dxa"/>
            <w:tcBorders/>
            <w:shd w:fill="FFFFFF" w:val="clear"/>
            <w:vAlign w:val="center"/>
          </w:tcPr>
          <w:p>
            <w:pPr>
              <w:pStyle w:val="TableContents"/>
              <w:bidi w:val="0"/>
              <w:spacing w:before="0" w:after="283"/>
              <w:jc w:val="left"/>
              <w:rPr/>
            </w:pPr>
            <w:r>
              <w:rPr/>
              <w:t xml:space="preserve">Joseph Petroleum Technology (Beijing) Co., Ltd. (“Joseph Petroleum”) </w:t>
            </w:r>
            <w:bookmarkStart w:id="734" w:name="xdx_F49_zq1trySkbNo5"/>
            <w:bookmarkEnd w:id="734"/>
            <w:r>
              <w:rPr/>
              <w:t>(6)</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703,680</w:t>
            </w:r>
          </w:p>
        </w:tc>
        <w:tc>
          <w:tcPr>
            <w:tcW w:w="75" w:type="dxa"/>
            <w:tcBorders/>
            <w:shd w:fill="FFFFFF" w:val="clear"/>
            <w:vAlign w:val="center"/>
          </w:tcPr>
          <w:p>
            <w:pPr>
              <w:pStyle w:val="TableContents"/>
              <w:bidi w:val="0"/>
              <w:spacing w:before="0" w:after="283"/>
              <w:jc w:val="left"/>
              <w:rPr/>
            </w:pPr>
            <w:r>
              <w:rPr/>
              <w:t> </w:t>
            </w:r>
            <w:bookmarkStart w:id="735" w:name="xdx_401_ecustom--LoansReceivable_iI_hus-"/>
            <w:bookmarkEnd w:id="735"/>
          </w:p>
        </w:tc>
      </w:tr>
      <w:tr>
        <w:trPr/>
        <w:tc>
          <w:tcPr>
            <w:tcW w:w="7130" w:type="dxa"/>
            <w:tcBorders/>
            <w:shd w:fill="CCEEFF" w:val="clear"/>
            <w:vAlign w:val="center"/>
          </w:tcPr>
          <w:p>
            <w:pPr>
              <w:pStyle w:val="TableContents"/>
              <w:bidi w:val="0"/>
              <w:spacing w:before="0" w:after="283"/>
              <w:jc w:val="left"/>
              <w:rPr/>
            </w:pPr>
            <w:r>
              <w:rPr/>
              <w:t xml:space="preserve">Beijing Chenghui Shengsi Technology Co., Ltd. (“Beiiing Chenghui”) </w:t>
            </w:r>
            <w:bookmarkStart w:id="736" w:name="xdx_F49_z4irM2bEu5Vf"/>
            <w:bookmarkEnd w:id="736"/>
            <w:r>
              <w:rPr/>
              <w:t>(7)</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1,464,722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18,999</w:t>
            </w:r>
          </w:p>
        </w:tc>
        <w:tc>
          <w:tcPr>
            <w:tcW w:w="75" w:type="dxa"/>
            <w:tcBorders/>
            <w:shd w:fill="CCEEFF" w:val="clear"/>
            <w:vAlign w:val="center"/>
          </w:tcPr>
          <w:p>
            <w:pPr>
              <w:pStyle w:val="TableContents"/>
              <w:bidi w:val="0"/>
              <w:spacing w:before="0" w:after="283"/>
              <w:jc w:val="left"/>
              <w:rPr/>
            </w:pPr>
            <w:r>
              <w:rPr/>
              <w:t> </w:t>
            </w:r>
            <w:bookmarkStart w:id="737" w:name="xdx_403_ecustom--LoansReceivable_iI_hus-"/>
            <w:bookmarkEnd w:id="737"/>
          </w:p>
        </w:tc>
      </w:tr>
      <w:tr>
        <w:trPr/>
        <w:tc>
          <w:tcPr>
            <w:tcW w:w="7130" w:type="dxa"/>
            <w:tcBorders/>
            <w:shd w:fill="FFFFFF" w:val="clear"/>
            <w:vAlign w:val="center"/>
          </w:tcPr>
          <w:p>
            <w:pPr>
              <w:pStyle w:val="TableContents"/>
              <w:bidi w:val="0"/>
              <w:spacing w:before="0" w:after="283"/>
              <w:jc w:val="left"/>
              <w:rPr/>
            </w:pPr>
            <w:r>
              <w:rPr/>
              <w:t>Accrued Interest Receivable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243,172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pPr>
            <w:r>
              <w:rPr/>
              <w:t>153,860</w:t>
            </w:r>
          </w:p>
        </w:tc>
        <w:tc>
          <w:tcPr>
            <w:tcW w:w="75" w:type="dxa"/>
            <w:tcBorders/>
            <w:shd w:fill="FFFFFF" w:val="clear"/>
            <w:vAlign w:val="center"/>
          </w:tcPr>
          <w:p>
            <w:pPr>
              <w:pStyle w:val="TableContents"/>
              <w:bidi w:val="0"/>
              <w:spacing w:before="0" w:after="283"/>
              <w:jc w:val="left"/>
              <w:rPr/>
            </w:pPr>
            <w:r>
              <w:rPr/>
              <w:t> </w:t>
            </w:r>
            <w:bookmarkStart w:id="738" w:name="xdx_40F_ecustom--LoansReceivable_iI_zbZX"/>
            <w:bookmarkEnd w:id="738"/>
          </w:p>
        </w:tc>
      </w:tr>
      <w:tr>
        <w:trPr/>
        <w:tc>
          <w:tcPr>
            <w:tcW w:w="7130" w:type="dxa"/>
            <w:tcBorders/>
            <w:shd w:fill="CCEEFF" w:val="clear"/>
            <w:vAlign w:val="center"/>
          </w:tcPr>
          <w:p>
            <w:pPr>
              <w:pStyle w:val="TableContents"/>
              <w:bidi w:val="0"/>
              <w:spacing w:before="0" w:after="283"/>
              <w:jc w:val="left"/>
              <w:rPr>
                <w:b/>
              </w:rPr>
            </w:pPr>
            <w:r>
              <w:rPr>
                <w:b/>
              </w:rPr>
              <w:t>Total loans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4,661,908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4,741,152</w:t>
            </w:r>
          </w:p>
        </w:tc>
        <w:tc>
          <w:tcPr>
            <w:tcW w:w="75" w:type="dxa"/>
            <w:tcBorders/>
            <w:shd w:fill="CCEEFF" w:val="clear"/>
            <w:vAlign w:val="center"/>
          </w:tcPr>
          <w:p>
            <w:pPr>
              <w:pStyle w:val="TableContents"/>
              <w:bidi w:val="0"/>
              <w:spacing w:before="0" w:after="283"/>
              <w:jc w:val="left"/>
              <w:rPr/>
            </w:pPr>
            <w:r>
              <w:rPr/>
              <w:t> </w:t>
            </w:r>
            <w:bookmarkStart w:id="739" w:name="xdx_407_eus-gaap--AccountsNotesAndLoansR"/>
            <w:bookmarkEnd w:id="739"/>
          </w:p>
        </w:tc>
      </w:tr>
      <w:tr>
        <w:trPr/>
        <w:tc>
          <w:tcPr>
            <w:tcW w:w="7130" w:type="dxa"/>
            <w:tcBorders/>
            <w:shd w:fill="FFFFFF" w:val="clear"/>
            <w:vAlign w:val="center"/>
          </w:tcPr>
          <w:p>
            <w:pPr>
              <w:pStyle w:val="TableContents"/>
              <w:bidi w:val="0"/>
              <w:spacing w:before="0" w:after="283"/>
              <w:jc w:val="left"/>
              <w:rPr>
                <w:b/>
              </w:rPr>
            </w:pPr>
            <w:r>
              <w:rPr>
                <w:b/>
              </w:rPr>
              <w:t>Less: current portion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3,767,896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3,777,909</w:t>
            </w:r>
          </w:p>
        </w:tc>
        <w:tc>
          <w:tcPr>
            <w:tcW w:w="75" w:type="dxa"/>
            <w:tcBorders/>
            <w:shd w:fill="FFFFFF" w:val="clear"/>
            <w:vAlign w:val="center"/>
          </w:tcPr>
          <w:p>
            <w:pPr>
              <w:pStyle w:val="TableContents"/>
              <w:bidi w:val="0"/>
              <w:spacing w:before="0" w:after="283"/>
              <w:jc w:val="left"/>
              <w:rPr/>
            </w:pPr>
            <w:r>
              <w:rPr/>
              <w:t> </w:t>
            </w:r>
            <w:bookmarkStart w:id="740" w:name="xdx_40C_ecustom--LoanReceivableNoncurren"/>
            <w:bookmarkEnd w:id="740"/>
          </w:p>
        </w:tc>
      </w:tr>
      <w:tr>
        <w:trPr/>
        <w:tc>
          <w:tcPr>
            <w:tcW w:w="7130" w:type="dxa"/>
            <w:tcBorders/>
            <w:shd w:fill="CCEEFF" w:val="clear"/>
            <w:vAlign w:val="center"/>
          </w:tcPr>
          <w:p>
            <w:pPr>
              <w:pStyle w:val="TableContents"/>
              <w:bidi w:val="0"/>
              <w:spacing w:before="0" w:after="283"/>
              <w:jc w:val="left"/>
              <w:rPr>
                <w:b/>
              </w:rPr>
            </w:pPr>
            <w:r>
              <w:rPr>
                <w:b/>
              </w:rPr>
              <w:t>Loans receivable, non-current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894,012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963,243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41" w:name="xdx_F06_zZv9VmzQa7O4"/>
            <w:bookmarkEnd w:id="741"/>
            <w:r>
              <w:rPr>
                <w:rFonts w:ascii="Times New Roman;Times;Serif" w:hAnsi="Times New Roman;Times;Serif"/>
                <w:b w:val="false"/>
                <w:i w:val="false"/>
                <w:caps w:val="false"/>
                <w:smallCaps w:val="false"/>
                <w:sz w:val="20"/>
              </w:rPr>
              <w:t>(1)</w:t>
            </w:r>
          </w:p>
        </w:tc>
        <w:tc>
          <w:tcPr>
            <w:tcW w:w="99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742" w:name="xdx_F11_z7IcJqvN61Jd"/>
            <w:bookmarkEnd w:id="742"/>
            <w:r>
              <w:rPr>
                <w:rFonts w:ascii="Times New Roman;Times;Serif" w:hAnsi="Times New Roman;Times;Serif"/>
                <w:b w:val="false"/>
                <w:i w:val="false"/>
                <w:caps w:val="false"/>
                <w:smallCaps w:val="false"/>
                <w:sz w:val="20"/>
              </w:rPr>
              <w:t xml:space="preserve">On April 13, 2024 and May 23, 2024, China Oil Blue Ocean made two loans of RMB </w:t>
            </w:r>
            <w:bookmarkStart w:id="743" w:name="xdx_902_ecustom--LoanReceivableRelatedPa"/>
            <w:bookmarkEnd w:id="743"/>
            <w:r>
              <w:rPr>
                <w:rFonts w:ascii="Times New Roman;Times;Serif" w:hAnsi="Times New Roman;Times;Serif"/>
                <w:b w:val="false"/>
                <w:i w:val="false"/>
                <w:caps w:val="false"/>
                <w:smallCaps w:val="false"/>
                <w:sz w:val="20"/>
              </w:rPr>
              <w:t>3,000,000 ($</w:t>
            </w:r>
            <w:bookmarkStart w:id="744" w:name="xdx_907_ecustom--LoanReceivableRelatedPa"/>
            <w:bookmarkEnd w:id="744"/>
            <w:r>
              <w:rPr>
                <w:rFonts w:ascii="Times New Roman;Times;Serif" w:hAnsi="Times New Roman;Times;Serif"/>
                <w:b w:val="false"/>
                <w:i w:val="false"/>
                <w:caps w:val="false"/>
                <w:smallCaps w:val="false"/>
                <w:sz w:val="20"/>
              </w:rPr>
              <w:t xml:space="preserve">428,119) and RMB </w:t>
            </w:r>
            <w:bookmarkStart w:id="745" w:name="xdx_907_ecustom--LoanReceivableRelatedPa"/>
            <w:bookmarkEnd w:id="745"/>
            <w:r>
              <w:rPr>
                <w:rFonts w:ascii="Times New Roman;Times;Serif" w:hAnsi="Times New Roman;Times;Serif"/>
                <w:b w:val="false"/>
                <w:i w:val="false"/>
                <w:caps w:val="false"/>
                <w:smallCaps w:val="false"/>
                <w:sz w:val="20"/>
              </w:rPr>
              <w:t>2,000,000 ($</w:t>
            </w:r>
            <w:bookmarkStart w:id="746" w:name="xdx_90C_ecustom--LoanReceivableRelatedPa"/>
            <w:bookmarkEnd w:id="746"/>
            <w:r>
              <w:rPr>
                <w:rFonts w:ascii="Times New Roman;Times;Serif" w:hAnsi="Times New Roman;Times;Serif"/>
                <w:b w:val="false"/>
                <w:i w:val="false"/>
                <w:caps w:val="false"/>
                <w:smallCaps w:val="false"/>
                <w:sz w:val="20"/>
              </w:rPr>
              <w:t xml:space="preserve">285,413), respectively, to a customer, Polar for three years with annual interest of </w:t>
            </w:r>
            <w:bookmarkStart w:id="747" w:name="xdx_906_eus-gaap--DebtInstrumentInterest"/>
            <w:bookmarkStart w:id="748" w:name="xdx_900_eus-gaap--DebtInstrumentInterest"/>
            <w:bookmarkEnd w:id="747"/>
            <w:bookmarkEnd w:id="748"/>
            <w:r>
              <w:rPr>
                <w:rFonts w:ascii="Times New Roman;Times;Serif" w:hAnsi="Times New Roman;Times;Serif"/>
                <w:b w:val="false"/>
                <w:i w:val="false"/>
                <w:caps w:val="false"/>
                <w:smallCaps w:val="false"/>
                <w:sz w:val="20"/>
              </w:rPr>
              <w:t xml:space="preserve">4%. The loans were restricted for Polar’s operating activities. The outstanding loans were repaid as follows: RMB </w:t>
            </w:r>
            <w:bookmarkStart w:id="749" w:name="xdx_90D_eus-gaap--PaymentsOfLoanCosts_uR"/>
            <w:bookmarkEnd w:id="749"/>
            <w:r>
              <w:rPr>
                <w:rFonts w:ascii="Times New Roman;Times;Serif" w:hAnsi="Times New Roman;Times;Serif"/>
                <w:b w:val="false"/>
                <w:i w:val="false"/>
                <w:caps w:val="false"/>
                <w:smallCaps w:val="false"/>
                <w:sz w:val="20"/>
              </w:rPr>
              <w:t>4,000,000 ($</w:t>
            </w:r>
            <w:bookmarkStart w:id="750" w:name="xdx_902_eus-gaap--PaymentsOfLoanCosts_uU"/>
            <w:bookmarkEnd w:id="750"/>
            <w:r>
              <w:rPr>
                <w:rFonts w:ascii="Times New Roman;Times;Serif" w:hAnsi="Times New Roman;Times;Serif"/>
                <w:b w:val="false"/>
                <w:i w:val="false"/>
                <w:caps w:val="false"/>
                <w:smallCaps w:val="false"/>
                <w:sz w:val="20"/>
              </w:rPr>
              <w:t xml:space="preserve">562,944) in November 2024 and RMB </w:t>
            </w:r>
            <w:bookmarkStart w:id="751" w:name="xdx_908_eus-gaap--PaymentsOfLoanCosts_uR"/>
            <w:bookmarkEnd w:id="751"/>
            <w:r>
              <w:rPr>
                <w:rFonts w:ascii="Times New Roman;Times;Serif" w:hAnsi="Times New Roman;Times;Serif"/>
                <w:b w:val="false"/>
                <w:i w:val="false"/>
                <w:caps w:val="false"/>
                <w:smallCaps w:val="false"/>
                <w:sz w:val="20"/>
              </w:rPr>
              <w:t>1,000,000 ($</w:t>
            </w:r>
            <w:bookmarkStart w:id="752" w:name="xdx_902_eus-gaap--PaymentsOfLoanCosts_uU"/>
            <w:bookmarkEnd w:id="752"/>
            <w:r>
              <w:rPr>
                <w:rFonts w:ascii="Times New Roman;Times;Serif" w:hAnsi="Times New Roman;Times;Serif"/>
                <w:b w:val="false"/>
                <w:i w:val="false"/>
                <w:caps w:val="false"/>
                <w:smallCaps w:val="false"/>
                <w:sz w:val="20"/>
              </w:rPr>
              <w:t>140,736) in December 2024.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China Oil Blue Ocean lent RMB </w:t>
            </w:r>
            <w:bookmarkStart w:id="753" w:name="xdx_902_ecustom--LoanReceivableRelatedPa"/>
            <w:bookmarkEnd w:id="753"/>
            <w:r>
              <w:rPr>
                <w:rFonts w:ascii="Times New Roman;Times;Serif" w:hAnsi="Times New Roman;Times;Serif"/>
                <w:b w:val="false"/>
                <w:i w:val="false"/>
                <w:caps w:val="false"/>
                <w:smallCaps w:val="false"/>
                <w:sz w:val="20"/>
              </w:rPr>
              <w:t>6 million ($</w:t>
            </w:r>
            <w:bookmarkStart w:id="754" w:name="xdx_904_ecustom--LoanReceivableRelatedPa"/>
            <w:bookmarkEnd w:id="754"/>
            <w:r>
              <w:rPr>
                <w:rFonts w:ascii="Times New Roman;Times;Serif" w:hAnsi="Times New Roman;Times;Serif"/>
                <w:b w:val="false"/>
                <w:i w:val="false"/>
                <w:caps w:val="false"/>
                <w:smallCaps w:val="false"/>
                <w:sz w:val="20"/>
              </w:rPr>
              <w:t xml:space="preserve">867,127) to Polar with annual interest of </w:t>
            </w:r>
            <w:bookmarkStart w:id="755" w:name="xdx_90C_eus-gaap--DebtInstrumentInterest"/>
            <w:bookmarkEnd w:id="755"/>
            <w:r>
              <w:rPr>
                <w:rFonts w:ascii="Times New Roman;Times;Serif" w:hAnsi="Times New Roman;Times;Serif"/>
                <w:b w:val="false"/>
                <w:i w:val="false"/>
                <w:caps w:val="false"/>
                <w:smallCaps w:val="false"/>
                <w:sz w:val="20"/>
              </w:rPr>
              <w:t xml:space="preserve">3.5% and a term of three years. Interest accrued on this loan was RMB </w:t>
            </w:r>
            <w:bookmarkStart w:id="756" w:name="xdx_903_eus-gaap--AccruedInvestmentIncom"/>
            <w:bookmarkEnd w:id="756"/>
            <w:r>
              <w:rPr>
                <w:rFonts w:ascii="Times New Roman;Times;Serif" w:hAnsi="Times New Roman;Times;Serif"/>
                <w:b w:val="false"/>
                <w:i w:val="false"/>
                <w:caps w:val="false"/>
                <w:smallCaps w:val="false"/>
                <w:sz w:val="20"/>
              </w:rPr>
              <w:t>186,027 ($</w:t>
            </w:r>
            <w:bookmarkStart w:id="757" w:name="xdx_90B_eus-gaap--AccruedInvestmentIncom"/>
            <w:bookmarkEnd w:id="757"/>
            <w:r>
              <w:rPr>
                <w:rFonts w:ascii="Times New Roman;Times;Serif" w:hAnsi="Times New Roman;Times;Serif"/>
                <w:b w:val="false"/>
                <w:i w:val="false"/>
                <w:caps w:val="false"/>
                <w:smallCaps w:val="false"/>
                <w:sz w:val="20"/>
              </w:rPr>
              <w:t xml:space="preserve">26,885) and </w:t>
            </w:r>
            <w:bookmarkStart w:id="758" w:name="xdx_90F_eus-gaap--AccruedInvestmentIncom"/>
            <w:bookmarkEnd w:id="758"/>
            <w:r>
              <w:rPr>
                <w:rFonts w:ascii="Times New Roman;Times;Serif" w:hAnsi="Times New Roman;Times;Serif"/>
                <w:b w:val="false"/>
                <w:i w:val="false"/>
                <w:caps w:val="false"/>
                <w:smallCaps w:val="false"/>
                <w:sz w:val="20"/>
              </w:rPr>
              <w:t>81,315 ($</w:t>
            </w:r>
            <w:bookmarkStart w:id="759" w:name="xdx_901_eus-gaap--AccruedInvestmentIncom"/>
            <w:bookmarkEnd w:id="759"/>
            <w:r>
              <w:rPr>
                <w:rFonts w:ascii="Times New Roman;Times;Serif" w:hAnsi="Times New Roman;Times;Serif"/>
                <w:b w:val="false"/>
                <w:i w:val="false"/>
                <w:caps w:val="false"/>
                <w:smallCaps w:val="false"/>
                <w:sz w:val="20"/>
              </w:rPr>
              <w:t>11,444) as of March 31, 2026 and September 30, 2025. The loan will mature in May 2028.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60" w:name="xdx_F04_zQyGfP25QJM8"/>
            <w:bookmarkEnd w:id="760"/>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761" w:name="xdx_F10_zzRLUiWokbme"/>
            <w:bookmarkEnd w:id="761"/>
            <w:r>
              <w:rPr>
                <w:rFonts w:ascii="Times New Roman;Times;Serif" w:hAnsi="Times New Roman;Times;Serif"/>
                <w:b w:val="false"/>
                <w:i w:val="false"/>
                <w:caps w:val="false"/>
                <w:smallCaps w:val="false"/>
                <w:sz w:val="20"/>
              </w:rPr>
              <w:t>On March 25, 2024, China Oil Blue Ocean lent RMB</w:t>
            </w:r>
            <w:bookmarkStart w:id="762" w:name="xdx_901_eus-gaap--AccountsNotesAndLoansR"/>
            <w:bookmarkEnd w:id="762"/>
            <w:r>
              <w:rPr>
                <w:rFonts w:ascii="Times New Roman;Times;Serif" w:hAnsi="Times New Roman;Times;Serif"/>
                <w:b w:val="false"/>
                <w:i w:val="false"/>
                <w:caps w:val="false"/>
                <w:smallCaps w:val="false"/>
                <w:sz w:val="20"/>
              </w:rPr>
              <w:t>5,600,000 ($</w:t>
            </w:r>
            <w:bookmarkStart w:id="763" w:name="xdx_90A_eus-gaap--AccountsNotesAndLoansR"/>
            <w:bookmarkEnd w:id="763"/>
            <w:r>
              <w:rPr>
                <w:rFonts w:ascii="Times New Roman;Times;Serif" w:hAnsi="Times New Roman;Times;Serif"/>
                <w:b w:val="false"/>
                <w:i w:val="false"/>
                <w:caps w:val="false"/>
                <w:smallCaps w:val="false"/>
                <w:sz w:val="20"/>
              </w:rPr>
              <w:t xml:space="preserve">809,319) to Sichuan TIBO Fluid Technology Co., Ltd. (“Sichuan TIBO”). The loan to Sichuan TIBO was for </w:t>
            </w:r>
            <w:bookmarkStart w:id="764" w:name="xdx_905_eus-gaap--DebtInstrumentTerm_dtM"/>
            <w:bookmarkEnd w:id="764"/>
            <w:r>
              <w:rPr>
                <w:rFonts w:ascii="Times New Roman;Times;Serif" w:hAnsi="Times New Roman;Times;Serif"/>
                <w:b w:val="false"/>
                <w:i w:val="false"/>
                <w:caps w:val="false"/>
                <w:smallCaps w:val="false"/>
                <w:sz w:val="20"/>
              </w:rPr>
              <w:t xml:space="preserve">13 months with an annual interest of </w:t>
            </w:r>
            <w:bookmarkStart w:id="765" w:name="xdx_90A_eus-gaap--DebtInstrumentInterest"/>
            <w:bookmarkEnd w:id="765"/>
            <w:r>
              <w:rPr>
                <w:rFonts w:ascii="Times New Roman;Times;Serif" w:hAnsi="Times New Roman;Times;Serif"/>
                <w:b w:val="false"/>
                <w:i w:val="false"/>
                <w:caps w:val="false"/>
                <w:smallCaps w:val="false"/>
                <w:sz w:val="20"/>
              </w:rPr>
              <w:t xml:space="preserve">8% from March 25, 2024 to June 25, 2024, and </w:t>
            </w:r>
            <w:bookmarkStart w:id="766" w:name="xdx_904_eus-gaap--DebtInstrumentInterest"/>
            <w:bookmarkEnd w:id="766"/>
            <w:r>
              <w:rPr>
                <w:rFonts w:ascii="Times New Roman;Times;Serif" w:hAnsi="Times New Roman;Times;Serif"/>
                <w:b w:val="false"/>
                <w:i w:val="false"/>
                <w:caps w:val="false"/>
                <w:smallCaps w:val="false"/>
                <w:sz w:val="20"/>
              </w:rPr>
              <w:t xml:space="preserve">3.5% from June 26, 2024 to April 30, 2025. Sichuan TIBO repaid RMB </w:t>
            </w:r>
            <w:bookmarkStart w:id="767" w:name="xdx_90F_eus-gaap--PaymentsOfLoanCosts_uR"/>
            <w:bookmarkEnd w:id="767"/>
            <w:r>
              <w:rPr>
                <w:rFonts w:ascii="Times New Roman;Times;Serif" w:hAnsi="Times New Roman;Times;Serif"/>
                <w:b w:val="false"/>
                <w:i w:val="false"/>
                <w:caps w:val="false"/>
                <w:smallCaps w:val="false"/>
                <w:sz w:val="20"/>
              </w:rPr>
              <w:t>600,000 ($</w:t>
            </w:r>
            <w:bookmarkStart w:id="768" w:name="xdx_90A_eus-gaap--PaymentsOfLoanCosts_uU"/>
            <w:bookmarkEnd w:id="768"/>
            <w:r>
              <w:rPr>
                <w:rFonts w:ascii="Times New Roman;Times;Serif" w:hAnsi="Times New Roman;Times;Serif"/>
                <w:b w:val="false"/>
                <w:i w:val="false"/>
                <w:caps w:val="false"/>
                <w:smallCaps w:val="false"/>
                <w:sz w:val="20"/>
              </w:rPr>
              <w:t xml:space="preserve">86,713) on January 22, 2025. China Oil Blue Ocean and Sichuan TIBO reached three separate extension agreements on April 20, 2025, October 24, 2025, and June 25, 2026, respectively, pursuant to which the remaining RMB </w:t>
            </w:r>
            <w:bookmarkStart w:id="769" w:name="xdx_90E_eus-gaap--DebtInstrumentCarrying"/>
            <w:bookmarkEnd w:id="769"/>
            <w:r>
              <w:rPr>
                <w:rFonts w:ascii="Times New Roman;Times;Serif" w:hAnsi="Times New Roman;Times;Serif"/>
                <w:b w:val="false"/>
                <w:i w:val="false"/>
                <w:caps w:val="false"/>
                <w:smallCaps w:val="false"/>
                <w:sz w:val="20"/>
              </w:rPr>
              <w:t>5 million ($</w:t>
            </w:r>
            <w:bookmarkStart w:id="770" w:name="xdx_901_eus-gaap--DebtInstrumentCarrying"/>
            <w:bookmarkEnd w:id="770"/>
            <w:r>
              <w:rPr>
                <w:rFonts w:ascii="Times New Roman;Times;Serif" w:hAnsi="Times New Roman;Times;Serif"/>
                <w:b w:val="false"/>
                <w:i w:val="false"/>
                <w:caps w:val="false"/>
                <w:smallCaps w:val="false"/>
                <w:sz w:val="20"/>
              </w:rPr>
              <w:t xml:space="preserve">722,606) loan balance was successively extended, with the final maturity date of </w:t>
            </w:r>
            <w:bookmarkStart w:id="771" w:name="xdx_906_eus-gaap--DebtInstrumentMaturity"/>
            <w:bookmarkEnd w:id="771"/>
            <w:r>
              <w:rPr>
                <w:rFonts w:ascii="Times New Roman;Times;Serif" w:hAnsi="Times New Roman;Times;Serif"/>
                <w:b w:val="false"/>
                <w:i w:val="false"/>
                <w:caps w:val="false"/>
                <w:smallCaps w:val="false"/>
                <w:sz w:val="20"/>
              </w:rPr>
              <w:t>October 31,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20, 2025, China Oil Blue Ocean provided an additional loan of RMB </w:t>
            </w:r>
            <w:bookmarkStart w:id="772" w:name="xdx_906_eus-gaap--AccountsNotesAndLoansR"/>
            <w:bookmarkEnd w:id="772"/>
            <w:r>
              <w:rPr>
                <w:rFonts w:ascii="Times New Roman;Times;Serif" w:hAnsi="Times New Roman;Times;Serif"/>
                <w:b w:val="false"/>
                <w:i w:val="false"/>
                <w:caps w:val="false"/>
                <w:smallCaps w:val="false"/>
                <w:sz w:val="20"/>
              </w:rPr>
              <w:t>2.6 million ($</w:t>
            </w:r>
            <w:bookmarkStart w:id="773" w:name="xdx_906_eus-gaap--AccountsNotesAndLoansR"/>
            <w:bookmarkEnd w:id="773"/>
            <w:r>
              <w:rPr>
                <w:rFonts w:ascii="Times New Roman;Times;Serif" w:hAnsi="Times New Roman;Times;Serif"/>
                <w:b w:val="false"/>
                <w:i w:val="false"/>
                <w:caps w:val="false"/>
                <w:smallCaps w:val="false"/>
                <w:sz w:val="20"/>
              </w:rPr>
              <w:t xml:space="preserve">375,755) to Sichuan TIBO with interest of </w:t>
            </w:r>
            <w:bookmarkStart w:id="774" w:name="xdx_900_eus-gaap--DebtInstrumentInterest"/>
            <w:bookmarkEnd w:id="774"/>
            <w:r>
              <w:rPr>
                <w:rFonts w:ascii="Times New Roman;Times;Serif" w:hAnsi="Times New Roman;Times;Serif"/>
                <w:b w:val="false"/>
                <w:i w:val="false"/>
                <w:caps w:val="false"/>
                <w:smallCaps w:val="false"/>
                <w:sz w:val="20"/>
              </w:rPr>
              <w:t xml:space="preserve">3.5% and a term of </w:t>
            </w:r>
            <w:bookmarkStart w:id="775" w:name="xdx_90E_eus-gaap--DebtInstrumentTerm_dc_"/>
            <w:bookmarkEnd w:id="775"/>
            <w:r>
              <w:rPr>
                <w:rFonts w:ascii="Times New Roman;Times;Serif" w:hAnsi="Times New Roman;Times;Serif"/>
                <w:b w:val="false"/>
                <w:i w:val="false"/>
                <w:caps w:val="false"/>
                <w:smallCaps w:val="false"/>
                <w:sz w:val="20"/>
              </w:rPr>
              <w:t xml:space="preserve">six months. On October 24, 2025, China Oil Blue Ocean and Sichuan TIBO agreed to extend the maturity date of the loan to </w:t>
            </w:r>
            <w:bookmarkStart w:id="776" w:name="xdx_903_eus-gaap--DebtInstrumentMaturity"/>
            <w:bookmarkEnd w:id="776"/>
            <w:r>
              <w:rPr>
                <w:rFonts w:ascii="Times New Roman;Times;Serif" w:hAnsi="Times New Roman;Times;Serif"/>
                <w:b w:val="false"/>
                <w:i w:val="false"/>
                <w:caps w:val="false"/>
                <w:smallCaps w:val="false"/>
                <w:sz w:val="20"/>
              </w:rPr>
              <w:t xml:space="preserve">June 30, 2026. On June 25, 2026, both parties agreed to extend the maturity date of the loan to </w:t>
            </w:r>
            <w:bookmarkStart w:id="777" w:name="xdx_901_eus-gaap--DebtInstrumentMaturity"/>
            <w:bookmarkEnd w:id="777"/>
            <w:r>
              <w:rPr>
                <w:rFonts w:ascii="Times New Roman;Times;Serif" w:hAnsi="Times New Roman;Times;Serif"/>
                <w:b w:val="false"/>
                <w:i w:val="false"/>
                <w:caps w:val="false"/>
                <w:smallCaps w:val="false"/>
                <w:sz w:val="20"/>
              </w:rPr>
              <w:t>October 31,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the outstanding loan receivable from TIBO amounted to $</w:t>
            </w:r>
            <w:bookmarkStart w:id="778" w:name="xdx_901_ecustom--LoanReceivableRelatedPa"/>
            <w:bookmarkEnd w:id="778"/>
            <w:r>
              <w:rPr>
                <w:rFonts w:ascii="Times New Roman;Times;Serif" w:hAnsi="Times New Roman;Times;Serif"/>
                <w:b w:val="false"/>
                <w:i w:val="false"/>
                <w:caps w:val="false"/>
                <w:smallCaps w:val="false"/>
                <w:sz w:val="20"/>
              </w:rPr>
              <w:t>1,098,361 and $</w:t>
            </w:r>
            <w:bookmarkStart w:id="779" w:name="xdx_900_ecustom--LoanReceivableRelatedPa"/>
            <w:bookmarkEnd w:id="779"/>
            <w:r>
              <w:rPr>
                <w:rFonts w:ascii="Times New Roman;Times;Serif" w:hAnsi="Times New Roman;Times;Serif"/>
                <w:b w:val="false"/>
                <w:i w:val="false"/>
                <w:caps w:val="false"/>
                <w:smallCaps w:val="false"/>
                <w:sz w:val="20"/>
              </w:rPr>
              <w:t xml:space="preserve">1,069,596 respectively. Interest accrued on above two loans was RMB </w:t>
            </w:r>
            <w:bookmarkStart w:id="780" w:name="xdx_90D_eus-gaap--AccruedInvestmentIncom"/>
            <w:bookmarkEnd w:id="780"/>
            <w:r>
              <w:rPr>
                <w:rFonts w:ascii="Times New Roman;Times;Serif" w:hAnsi="Times New Roman;Times;Serif"/>
                <w:b w:val="false"/>
                <w:i w:val="false"/>
                <w:caps w:val="false"/>
                <w:smallCaps w:val="false"/>
                <w:sz w:val="20"/>
              </w:rPr>
              <w:t>368,816 ($</w:t>
            </w:r>
            <w:bookmarkStart w:id="781" w:name="xdx_902_eus-gaap--AccruedInvestmentIncom"/>
            <w:bookmarkEnd w:id="781"/>
            <w:r>
              <w:rPr>
                <w:rFonts w:ascii="Times New Roman;Times;Serif" w:hAnsi="Times New Roman;Times;Serif"/>
                <w:b w:val="false"/>
                <w:i w:val="false"/>
                <w:caps w:val="false"/>
                <w:smallCaps w:val="false"/>
                <w:sz w:val="20"/>
              </w:rPr>
              <w:t xml:space="preserve">53,302) and RMB </w:t>
            </w:r>
            <w:bookmarkStart w:id="782" w:name="xdx_904_eus-gaap--AccruedInvestmentIncom"/>
            <w:bookmarkEnd w:id="782"/>
            <w:r>
              <w:rPr>
                <w:rFonts w:ascii="Times New Roman;Times;Serif" w:hAnsi="Times New Roman;Times;Serif"/>
                <w:b w:val="false"/>
                <w:i w:val="false"/>
                <w:caps w:val="false"/>
                <w:smallCaps w:val="false"/>
                <w:sz w:val="20"/>
              </w:rPr>
              <w:t>236,180 ($</w:t>
            </w:r>
            <w:bookmarkStart w:id="783" w:name="xdx_904_eus-gaap--AccruedInvestmentIncom"/>
            <w:bookmarkEnd w:id="783"/>
            <w:r>
              <w:rPr>
                <w:rFonts w:ascii="Times New Roman;Times;Serif" w:hAnsi="Times New Roman;Times;Serif"/>
                <w:b w:val="false"/>
                <w:i w:val="false"/>
                <w:caps w:val="false"/>
                <w:smallCaps w:val="false"/>
                <w:sz w:val="20"/>
              </w:rPr>
              <w:t>33,239) as of March 31, 2026 and September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84" w:name="xdx_F01_z6AS2BL4FBJ3"/>
            <w:bookmarkEnd w:id="784"/>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785" w:name="xdx_F18_z4TDklrf0pj6"/>
            <w:bookmarkEnd w:id="785"/>
            <w:r>
              <w:rPr>
                <w:rFonts w:ascii="Times New Roman;Times;Serif" w:hAnsi="Times New Roman;Times;Serif"/>
                <w:b w:val="false"/>
                <w:i w:val="false"/>
                <w:caps w:val="false"/>
                <w:smallCaps w:val="false"/>
                <w:sz w:val="20"/>
              </w:rPr>
              <w:t xml:space="preserve">On May 1, 2025, China Oil Blue Ocean provided a credit facility of RMB </w:t>
            </w:r>
            <w:bookmarkStart w:id="786" w:name="xdx_90D_eus-gaap--LineOfCredit_iI_pn6n6_"/>
            <w:bookmarkEnd w:id="786"/>
            <w:r>
              <w:rPr>
                <w:rFonts w:ascii="Times New Roman;Times;Serif" w:hAnsi="Times New Roman;Times;Serif"/>
                <w:b w:val="false"/>
                <w:i w:val="false"/>
                <w:caps w:val="false"/>
                <w:smallCaps w:val="false"/>
                <w:sz w:val="20"/>
              </w:rPr>
              <w:t>10 million ($</w:t>
            </w:r>
            <w:bookmarkStart w:id="787" w:name="xdx_900_eus-gaap--LineOfCredit_iI_uUSD_c"/>
            <w:bookmarkEnd w:id="787"/>
            <w:r>
              <w:rPr>
                <w:rFonts w:ascii="Times New Roman;Times;Serif" w:hAnsi="Times New Roman;Times;Serif"/>
                <w:b w:val="false"/>
                <w:i w:val="false"/>
                <w:caps w:val="false"/>
                <w:smallCaps w:val="false"/>
                <w:sz w:val="20"/>
              </w:rPr>
              <w:t xml:space="preserve">1,445,212) to Eni Energy with annual interest of </w:t>
            </w:r>
            <w:bookmarkStart w:id="788" w:name="xdx_909_eus-gaap--DebtInstrumentInterest"/>
            <w:bookmarkEnd w:id="788"/>
            <w:r>
              <w:rPr>
                <w:rFonts w:ascii="Times New Roman;Times;Serif" w:hAnsi="Times New Roman;Times;Serif"/>
                <w:b w:val="false"/>
                <w:i w:val="false"/>
                <w:caps w:val="false"/>
                <w:smallCaps w:val="false"/>
                <w:sz w:val="20"/>
              </w:rPr>
              <w:t xml:space="preserve">3.5% and a term of </w:t>
            </w:r>
            <w:bookmarkStart w:id="789" w:name="xdx_90D_eus-gaap--DebtInstrumentTerm_dc_"/>
            <w:bookmarkEnd w:id="789"/>
            <w:r>
              <w:rPr>
                <w:rFonts w:ascii="Times New Roman;Times;Serif" w:hAnsi="Times New Roman;Times;Serif"/>
                <w:b w:val="false"/>
                <w:i w:val="false"/>
                <w:caps w:val="false"/>
                <w:smallCaps w:val="false"/>
                <w:sz w:val="20"/>
              </w:rPr>
              <w:t xml:space="preserve">three years. Eni Energy drew down RMB </w:t>
            </w:r>
            <w:bookmarkStart w:id="790" w:name="xdx_902_eus-gaap--LineOfCredit_iI_pn6n6_"/>
            <w:bookmarkEnd w:id="790"/>
            <w:r>
              <w:rPr>
                <w:rFonts w:ascii="Times New Roman;Times;Serif" w:hAnsi="Times New Roman;Times;Serif"/>
                <w:b w:val="false"/>
                <w:i w:val="false"/>
                <w:caps w:val="false"/>
                <w:smallCaps w:val="false"/>
                <w:sz w:val="20"/>
              </w:rPr>
              <w:t>2 million ($</w:t>
            </w:r>
            <w:bookmarkStart w:id="791" w:name="xdx_90F_eus-gaap--LineOfCredit_iI_uUSD_c"/>
            <w:bookmarkEnd w:id="791"/>
            <w:r>
              <w:rPr>
                <w:rFonts w:ascii="Times New Roman;Times;Serif" w:hAnsi="Times New Roman;Times;Serif"/>
                <w:b w:val="false"/>
                <w:i w:val="false"/>
                <w:caps w:val="false"/>
                <w:smallCaps w:val="false"/>
                <w:sz w:val="20"/>
              </w:rPr>
              <w:t xml:space="preserve">289,042) from the credit facility on May 16, 2025. Interest accrued on this loan was RMB </w:t>
            </w:r>
            <w:bookmarkStart w:id="792" w:name="xdx_90C_eus-gaap--AccruedInvestmentIncom"/>
            <w:bookmarkEnd w:id="792"/>
            <w:r>
              <w:rPr>
                <w:rFonts w:ascii="Times New Roman;Times;Serif" w:hAnsi="Times New Roman;Times;Serif"/>
                <w:b w:val="false"/>
                <w:i w:val="false"/>
                <w:caps w:val="false"/>
                <w:smallCaps w:val="false"/>
                <w:sz w:val="20"/>
              </w:rPr>
              <w:t>65,589 ($</w:t>
            </w:r>
            <w:bookmarkStart w:id="793" w:name="xdx_90A_eus-gaap--AccruedInvestmentIncom"/>
            <w:bookmarkEnd w:id="793"/>
            <w:r>
              <w:rPr>
                <w:rFonts w:ascii="Times New Roman;Times;Serif" w:hAnsi="Times New Roman;Times;Serif"/>
                <w:b w:val="false"/>
                <w:i w:val="false"/>
                <w:caps w:val="false"/>
                <w:smallCaps w:val="false"/>
                <w:sz w:val="20"/>
              </w:rPr>
              <w:t xml:space="preserve">9,479) and RMB </w:t>
            </w:r>
            <w:bookmarkStart w:id="794" w:name="xdx_904_eus-gaap--AccruedInvestmentIncom"/>
            <w:bookmarkEnd w:id="794"/>
            <w:r>
              <w:rPr>
                <w:rFonts w:ascii="Times New Roman;Times;Serif" w:hAnsi="Times New Roman;Times;Serif"/>
                <w:b w:val="false"/>
                <w:i w:val="false"/>
                <w:caps w:val="false"/>
                <w:smallCaps w:val="false"/>
                <w:sz w:val="20"/>
              </w:rPr>
              <w:t>30,685 ($</w:t>
            </w:r>
            <w:bookmarkStart w:id="795" w:name="xdx_90C_eus-gaap--AccruedInvestmentIncom"/>
            <w:bookmarkEnd w:id="795"/>
            <w:r>
              <w:rPr>
                <w:rFonts w:ascii="Times New Roman;Times;Serif" w:hAnsi="Times New Roman;Times;Serif"/>
                <w:b w:val="false"/>
                <w:i w:val="false"/>
                <w:caps w:val="false"/>
                <w:smallCaps w:val="false"/>
                <w:sz w:val="20"/>
              </w:rPr>
              <w:t>4,318) as of March 31, 2026 and September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796" w:name="xdx_F0B_zHHoJUI1jzo2"/>
            <w:bookmarkEnd w:id="796"/>
            <w:r>
              <w:rPr>
                <w:rFonts w:ascii="Times New Roman;Times;Serif" w:hAnsi="Times New Roman;Times;Serif"/>
                <w:b w:val="false"/>
                <w:i w:val="false"/>
                <w:caps w:val="false"/>
                <w:smallCaps w:val="false"/>
                <w:sz w:val="20"/>
              </w:rPr>
              <w:t>(4)</w:t>
            </w:r>
          </w:p>
        </w:tc>
        <w:tc>
          <w:tcPr>
            <w:tcW w:w="999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797" w:name="xdx_F1C_zYbWvFNQFnB"/>
            <w:bookmarkEnd w:id="797"/>
            <w:r>
              <w:rPr>
                <w:rFonts w:ascii="Times New Roman;Times;Serif" w:hAnsi="Times New Roman;Times;Serif"/>
                <w:b w:val="false"/>
                <w:i w:val="false"/>
                <w:caps w:val="false"/>
                <w:smallCaps w:val="false"/>
                <w:sz w:val="20"/>
              </w:rPr>
              <w:t xml:space="preserve">On May 14, 2025 and September 29, 2025, China Oil Blue Ocean and Xinjiang Breslin made two loans of RMB </w:t>
            </w:r>
            <w:bookmarkStart w:id="798" w:name="xdx_906_eus-gaap--AccountsNotesAndLoansR"/>
            <w:bookmarkEnd w:id="798"/>
            <w:r>
              <w:rPr>
                <w:rFonts w:ascii="Times New Roman;Times;Serif" w:hAnsi="Times New Roman;Times;Serif"/>
                <w:b w:val="false"/>
                <w:i w:val="false"/>
                <w:caps w:val="false"/>
                <w:smallCaps w:val="false"/>
                <w:sz w:val="20"/>
              </w:rPr>
              <w:t>7,000,000 ($</w:t>
            </w:r>
            <w:bookmarkStart w:id="799" w:name="xdx_904_eus-gaap--AccountsNotesAndLoansR"/>
            <w:bookmarkEnd w:id="799"/>
            <w:r>
              <w:rPr>
                <w:rFonts w:ascii="Times New Roman;Times;Serif" w:hAnsi="Times New Roman;Times;Serif"/>
                <w:b w:val="false"/>
                <w:i w:val="false"/>
                <w:caps w:val="false"/>
                <w:smallCaps w:val="false"/>
                <w:sz w:val="20"/>
              </w:rPr>
              <w:t xml:space="preserve">1,011,648) and RMB </w:t>
            </w:r>
            <w:bookmarkStart w:id="800" w:name="xdx_905_eus-gaap--AccountsNotesAndLoansR"/>
            <w:bookmarkEnd w:id="800"/>
            <w:r>
              <w:rPr>
                <w:rFonts w:ascii="Times New Roman;Times;Serif" w:hAnsi="Times New Roman;Times;Serif"/>
                <w:b w:val="false"/>
                <w:i w:val="false"/>
                <w:caps w:val="false"/>
                <w:smallCaps w:val="false"/>
                <w:sz w:val="20"/>
              </w:rPr>
              <w:t>2,960,000 ($</w:t>
            </w:r>
            <w:bookmarkStart w:id="801" w:name="xdx_900_eus-gaap--AccountsNotesAndLoansR"/>
            <w:bookmarkEnd w:id="801"/>
            <w:r>
              <w:rPr>
                <w:rFonts w:ascii="Times New Roman;Times;Serif" w:hAnsi="Times New Roman;Times;Serif"/>
                <w:b w:val="false"/>
                <w:i w:val="false"/>
                <w:caps w:val="false"/>
                <w:smallCaps w:val="false"/>
                <w:sz w:val="20"/>
              </w:rPr>
              <w:t xml:space="preserve">427,783) respectively to Xianlong for one year with interest of </w:t>
            </w:r>
            <w:bookmarkStart w:id="802" w:name="xdx_903_eus-gaap--DebtInstrumentInterest"/>
            <w:bookmarkStart w:id="803" w:name="xdx_90C_eus-gaap--DebtInstrumentInterest"/>
            <w:bookmarkEnd w:id="802"/>
            <w:bookmarkEnd w:id="803"/>
            <w:r>
              <w:rPr>
                <w:rFonts w:ascii="Times New Roman;Times;Serif" w:hAnsi="Times New Roman;Times;Serif"/>
                <w:b w:val="false"/>
                <w:i w:val="false"/>
                <w:caps w:val="false"/>
                <w:smallCaps w:val="false"/>
                <w:sz w:val="20"/>
              </w:rPr>
              <w:t xml:space="preserve">3.5%. Xianlong repaid RMB </w:t>
            </w:r>
            <w:bookmarkStart w:id="804" w:name="xdx_90B_eus-gaap--RepaymentsOfRelatedPar"/>
            <w:bookmarkEnd w:id="804"/>
            <w:r>
              <w:rPr>
                <w:rFonts w:ascii="Times New Roman;Times;Serif" w:hAnsi="Times New Roman;Times;Serif"/>
                <w:b w:val="false"/>
                <w:i w:val="false"/>
                <w:caps w:val="false"/>
                <w:smallCaps w:val="false"/>
                <w:sz w:val="20"/>
              </w:rPr>
              <w:t>3 million ($</w:t>
            </w:r>
            <w:bookmarkStart w:id="805" w:name="xdx_909_eus-gaap--RepaymentsOfRelatedPar"/>
            <w:bookmarkEnd w:id="805"/>
            <w:r>
              <w:rPr>
                <w:rFonts w:ascii="Times New Roman;Times;Serif" w:hAnsi="Times New Roman;Times;Serif"/>
                <w:b w:val="false"/>
                <w:i w:val="false"/>
                <w:caps w:val="false"/>
                <w:smallCaps w:val="false"/>
                <w:sz w:val="20"/>
              </w:rPr>
              <w:t xml:space="preserve">433,564) and RMB </w:t>
            </w:r>
            <w:bookmarkStart w:id="806" w:name="xdx_905_eus-gaap--RepaymentsOfRelatedPar"/>
            <w:bookmarkEnd w:id="806"/>
            <w:r>
              <w:rPr>
                <w:rFonts w:ascii="Times New Roman;Times;Serif" w:hAnsi="Times New Roman;Times;Serif"/>
                <w:b w:val="false"/>
                <w:i w:val="false"/>
                <w:caps w:val="false"/>
                <w:smallCaps w:val="false"/>
                <w:sz w:val="20"/>
              </w:rPr>
              <w:t>2,960,000 ($</w:t>
            </w:r>
            <w:bookmarkStart w:id="807" w:name="xdx_907_eus-gaap--RepaymentsOfRelatedPar"/>
            <w:bookmarkEnd w:id="807"/>
            <w:r>
              <w:rPr>
                <w:rFonts w:ascii="Times New Roman;Times;Serif" w:hAnsi="Times New Roman;Times;Serif"/>
                <w:b w:val="false"/>
                <w:i w:val="false"/>
                <w:caps w:val="false"/>
                <w:smallCaps w:val="false"/>
                <w:sz w:val="20"/>
              </w:rPr>
              <w:t xml:space="preserve">427,783) to China Oil Blue Ocean and Xinjiang Breslin in March 2026. The remaining RMB </w:t>
            </w:r>
            <w:bookmarkStart w:id="808" w:name="xdx_902_eus-gaap--LoansPayable_iI_pn6n6_"/>
            <w:bookmarkEnd w:id="808"/>
            <w:r>
              <w:rPr>
                <w:rFonts w:ascii="Times New Roman;Times;Serif" w:hAnsi="Times New Roman;Times;Serif"/>
                <w:b w:val="false"/>
                <w:i w:val="false"/>
                <w:caps w:val="false"/>
                <w:smallCaps w:val="false"/>
                <w:sz w:val="20"/>
              </w:rPr>
              <w:t>4 million ($</w:t>
            </w:r>
            <w:bookmarkStart w:id="809" w:name="xdx_90E_eus-gaap--LoansPayable_iI_c20261"/>
            <w:bookmarkEnd w:id="809"/>
            <w:r>
              <w:rPr>
                <w:rFonts w:ascii="Times New Roman;Times;Serif" w:hAnsi="Times New Roman;Times;Serif"/>
                <w:b w:val="false"/>
                <w:i w:val="false"/>
                <w:caps w:val="false"/>
                <w:smallCaps w:val="false"/>
                <w:sz w:val="20"/>
              </w:rPr>
              <w:t>578,085) loan balance was extended to October 31,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accrued on these loans were RMB </w:t>
            </w:r>
            <w:bookmarkStart w:id="810" w:name="xdx_902_eus-gaap--AccruedInvestmentIncom"/>
            <w:bookmarkEnd w:id="810"/>
            <w:r>
              <w:rPr>
                <w:rFonts w:ascii="Times New Roman;Times;Serif" w:hAnsi="Times New Roman;Times;Serif"/>
                <w:b w:val="false"/>
                <w:i w:val="false"/>
                <w:caps w:val="false"/>
                <w:smallCaps w:val="false"/>
                <w:sz w:val="20"/>
              </w:rPr>
              <w:t xml:space="preserve">260,645 ($ </w:t>
            </w:r>
            <w:bookmarkStart w:id="811" w:name="xdx_90C_eus-gaap--AccruedInvestmentIncom"/>
            <w:bookmarkEnd w:id="811"/>
            <w:r>
              <w:rPr>
                <w:rFonts w:ascii="Times New Roman;Times;Serif" w:hAnsi="Times New Roman;Times;Serif"/>
                <w:b w:val="false"/>
                <w:i w:val="false"/>
                <w:caps w:val="false"/>
                <w:smallCaps w:val="false"/>
                <w:sz w:val="20"/>
              </w:rPr>
              <w:t xml:space="preserve">37,669) and RMB </w:t>
            </w:r>
            <w:bookmarkStart w:id="812" w:name="xdx_90E_eus-gaap--AccruedInvestmentIncom"/>
            <w:bookmarkEnd w:id="812"/>
            <w:r>
              <w:rPr>
                <w:rFonts w:ascii="Times New Roman;Times;Serif" w:hAnsi="Times New Roman;Times;Serif"/>
                <w:b w:val="false"/>
                <w:i w:val="false"/>
                <w:caps w:val="false"/>
                <w:smallCaps w:val="false"/>
                <w:sz w:val="20"/>
              </w:rPr>
              <w:t>94,540 ($</w:t>
            </w:r>
            <w:bookmarkStart w:id="813" w:name="xdx_906_eus-gaap--AccruedInvestmentIncom"/>
            <w:bookmarkEnd w:id="813"/>
            <w:r>
              <w:rPr>
                <w:rFonts w:ascii="Times New Roman;Times;Serif" w:hAnsi="Times New Roman;Times;Serif"/>
                <w:b w:val="false"/>
                <w:i w:val="false"/>
                <w:caps w:val="false"/>
                <w:smallCaps w:val="false"/>
                <w:sz w:val="20"/>
              </w:rPr>
              <w:t>13,305) as of March 31, 2026 and September 30,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14" w:name="xdx_F01_zlEqtZTR3UQ5"/>
            <w:bookmarkEnd w:id="814"/>
            <w:r>
              <w:rPr>
                <w:rFonts w:ascii="Times New Roman;Times;Serif" w:hAnsi="Times New Roman;Times;Serif"/>
                <w:b w:val="false"/>
                <w:i w:val="false"/>
                <w:caps w:val="false"/>
                <w:smallCaps w:val="false"/>
                <w:sz w:val="20"/>
              </w:rPr>
              <w:t>(5)</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815" w:name="xdx_F1F_zY4xWP2Kzk6"/>
            <w:bookmarkEnd w:id="815"/>
            <w:r>
              <w:rPr>
                <w:rFonts w:ascii="Times New Roman;Times;Serif" w:hAnsi="Times New Roman;Times;Serif"/>
                <w:b w:val="false"/>
                <w:i w:val="false"/>
                <w:caps w:val="false"/>
                <w:smallCaps w:val="false"/>
                <w:sz w:val="20"/>
              </w:rPr>
              <w:t xml:space="preserve">On May 29, 2025 and June 5, 2025, ZJY Technologies made two loans of RMB </w:t>
            </w:r>
            <w:bookmarkStart w:id="816" w:name="xdx_906_eus-gaap--AccountsNotesAndLoansR"/>
            <w:bookmarkEnd w:id="816"/>
            <w:r>
              <w:rPr>
                <w:rFonts w:ascii="Times New Roman;Times;Serif" w:hAnsi="Times New Roman;Times;Serif"/>
                <w:b w:val="false"/>
                <w:i w:val="false"/>
                <w:caps w:val="false"/>
                <w:smallCaps w:val="false"/>
                <w:sz w:val="20"/>
              </w:rPr>
              <w:t>100,000 ($</w:t>
            </w:r>
            <w:bookmarkStart w:id="817" w:name="xdx_905_eus-gaap--AccountsNotesAndLoansR"/>
            <w:bookmarkEnd w:id="817"/>
            <w:r>
              <w:rPr>
                <w:rFonts w:ascii="Times New Roman;Times;Serif" w:hAnsi="Times New Roman;Times;Serif"/>
                <w:b w:val="false"/>
                <w:i w:val="false"/>
                <w:caps w:val="false"/>
                <w:smallCaps w:val="false"/>
                <w:sz w:val="20"/>
              </w:rPr>
              <w:t xml:space="preserve">14,452) and RMB </w:t>
            </w:r>
            <w:bookmarkStart w:id="818" w:name="xdx_902_eus-gaap--AccountsNotesAndLoansR"/>
            <w:bookmarkEnd w:id="818"/>
            <w:r>
              <w:rPr>
                <w:rFonts w:ascii="Times New Roman;Times;Serif" w:hAnsi="Times New Roman;Times;Serif"/>
                <w:b w:val="false"/>
                <w:i w:val="false"/>
                <w:caps w:val="false"/>
                <w:smallCaps w:val="false"/>
                <w:sz w:val="20"/>
              </w:rPr>
              <w:t>1,800,000 ($</w:t>
            </w:r>
            <w:bookmarkStart w:id="819" w:name="xdx_901_eus-gaap--AccountsNotesAndLoansR"/>
            <w:bookmarkEnd w:id="819"/>
            <w:r>
              <w:rPr>
                <w:rFonts w:ascii="Times New Roman;Times;Serif" w:hAnsi="Times New Roman;Times;Serif"/>
                <w:b w:val="false"/>
                <w:i w:val="false"/>
                <w:caps w:val="false"/>
                <w:smallCaps w:val="false"/>
                <w:sz w:val="20"/>
              </w:rPr>
              <w:t xml:space="preserve">260,138) respectively to Beijing Youyi for one year with interest of </w:t>
            </w:r>
            <w:bookmarkStart w:id="820" w:name="xdx_900_eus-gaap--DebtInstrumentInterest"/>
            <w:bookmarkEnd w:id="820"/>
            <w:r>
              <w:rPr>
                <w:rFonts w:ascii="Times New Roman;Times;Serif" w:hAnsi="Times New Roman;Times;Serif"/>
                <w:b w:val="false"/>
                <w:i w:val="false"/>
                <w:caps w:val="false"/>
                <w:smallCaps w:val="false"/>
                <w:sz w:val="20"/>
              </w:rPr>
              <w:t>3.5%.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Sichuan TIBO and PetroChina Information Technology Co., Ltd. (“PetroChina Information”) are both procurement suppliers of ZJY Technologies. Pursuant to a tripartite assignment of debt agreement executed on October 10, 2025, ZJY Technologies assigned its RMB </w:t>
            </w:r>
            <w:bookmarkStart w:id="821" w:name="xdx_905_eus-gaap--DebtInstrumentFaceAmou"/>
            <w:bookmarkEnd w:id="821"/>
            <w:r>
              <w:rPr>
                <w:rFonts w:ascii="Times New Roman;Times;Serif" w:hAnsi="Times New Roman;Times;Serif"/>
                <w:b w:val="false"/>
                <w:i w:val="false"/>
                <w:caps w:val="false"/>
                <w:smallCaps w:val="false"/>
                <w:sz w:val="20"/>
              </w:rPr>
              <w:t>1,097,242 ($</w:t>
            </w:r>
            <w:bookmarkStart w:id="822" w:name="xdx_906_eus-gaap--DebtInstrumentFaceAmou"/>
            <w:bookmarkEnd w:id="822"/>
            <w:r>
              <w:rPr>
                <w:rFonts w:ascii="Times New Roman;Times;Serif" w:hAnsi="Times New Roman;Times;Serif"/>
                <w:b w:val="false"/>
                <w:i w:val="false"/>
                <w:caps w:val="false"/>
                <w:smallCaps w:val="false"/>
                <w:sz w:val="20"/>
              </w:rPr>
              <w:t xml:space="preserve">158,575) loan principal and all accrued interest to its creditors: RMB </w:t>
            </w:r>
            <w:bookmarkStart w:id="823" w:name="xdx_90A_eus-gaap--DebtInstrumentFaceAmou"/>
            <w:bookmarkEnd w:id="823"/>
            <w:r>
              <w:rPr>
                <w:rFonts w:ascii="Times New Roman;Times;Serif" w:hAnsi="Times New Roman;Times;Serif"/>
                <w:b w:val="false"/>
                <w:i w:val="false"/>
                <w:caps w:val="false"/>
                <w:smallCaps w:val="false"/>
                <w:sz w:val="20"/>
              </w:rPr>
              <w:t>821,574($</w:t>
            </w:r>
            <w:bookmarkStart w:id="824" w:name="xdx_90E_eus-gaap--DebtInstrumentFaceAmou"/>
            <w:bookmarkEnd w:id="824"/>
            <w:r>
              <w:rPr>
                <w:rFonts w:ascii="Times New Roman;Times;Serif" w:hAnsi="Times New Roman;Times;Serif"/>
                <w:b w:val="false"/>
                <w:i w:val="false"/>
                <w:caps w:val="false"/>
                <w:smallCaps w:val="false"/>
                <w:sz w:val="20"/>
              </w:rPr>
              <w:t xml:space="preserve">118,735) to Sichuan TIBO and RMB </w:t>
            </w:r>
            <w:bookmarkStart w:id="825" w:name="xdx_90F_eus-gaap--DebtInstrumentFaceAmou"/>
            <w:bookmarkEnd w:id="825"/>
            <w:r>
              <w:rPr>
                <w:rFonts w:ascii="Times New Roman;Times;Serif" w:hAnsi="Times New Roman;Times;Serif"/>
                <w:b w:val="false"/>
                <w:i w:val="false"/>
                <w:caps w:val="false"/>
                <w:smallCaps w:val="false"/>
                <w:sz w:val="20"/>
              </w:rPr>
              <w:t>275,668 ($</w:t>
            </w:r>
            <w:bookmarkStart w:id="826" w:name="xdx_90E_eus-gaap--DebtInstrumentFaceAmou"/>
            <w:bookmarkEnd w:id="826"/>
            <w:r>
              <w:rPr>
                <w:rFonts w:ascii="Times New Roman;Times;Serif" w:hAnsi="Times New Roman;Times;Serif"/>
                <w:b w:val="false"/>
                <w:i w:val="false"/>
                <w:caps w:val="false"/>
                <w:smallCaps w:val="false"/>
                <w:sz w:val="20"/>
              </w:rPr>
              <w:t>39,840) to PetroChina Information. Beijing Youyi shall repay the amount to Sichuan TIBO and PetroChina Information, respectively, in respect of the assigned agreements.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September 30, 2025, the outstanding loan receivable from Beijing Youyi amounted to RMB </w:t>
            </w:r>
            <w:bookmarkStart w:id="827" w:name="xdx_907_eus-gaap--DebtInstrumentRepaidPr"/>
            <w:bookmarkEnd w:id="827"/>
            <w:r>
              <w:rPr>
                <w:rFonts w:ascii="Times New Roman;Times;Serif" w:hAnsi="Times New Roman;Times;Serif"/>
                <w:b w:val="false"/>
                <w:i w:val="false"/>
                <w:caps w:val="false"/>
                <w:smallCaps w:val="false"/>
                <w:sz w:val="20"/>
              </w:rPr>
              <w:t>840,000 ($</w:t>
            </w:r>
            <w:bookmarkStart w:id="828" w:name="xdx_908_eus-gaap--DebtInstrumentRepaidPr"/>
            <w:bookmarkEnd w:id="828"/>
            <w:r>
              <w:rPr>
                <w:rFonts w:ascii="Times New Roman;Times;Serif" w:hAnsi="Times New Roman;Times;Serif"/>
                <w:b w:val="false"/>
                <w:i w:val="false"/>
                <w:caps w:val="false"/>
                <w:smallCaps w:val="false"/>
                <w:sz w:val="20"/>
              </w:rPr>
              <w:t xml:space="preserve">121,398) and RMB </w:t>
            </w:r>
            <w:bookmarkStart w:id="829" w:name="xdx_90A_eus-gaap--DebtInstrumentRepaidPr"/>
            <w:bookmarkEnd w:id="829"/>
            <w:r>
              <w:rPr>
                <w:rFonts w:ascii="Times New Roman;Times;Serif" w:hAnsi="Times New Roman;Times;Serif"/>
                <w:b w:val="false"/>
                <w:i w:val="false"/>
                <w:caps w:val="false"/>
                <w:smallCaps w:val="false"/>
                <w:sz w:val="20"/>
              </w:rPr>
              <w:t>1,900,000 ($</w:t>
            </w:r>
            <w:bookmarkStart w:id="830" w:name="xdx_90B_eus-gaap--DebtInstrumentRepaidPr"/>
            <w:bookmarkEnd w:id="830"/>
            <w:r>
              <w:rPr>
                <w:rFonts w:ascii="Times New Roman;Times;Serif" w:hAnsi="Times New Roman;Times;Serif"/>
                <w:b w:val="false"/>
                <w:i w:val="false"/>
                <w:caps w:val="false"/>
                <w:smallCaps w:val="false"/>
                <w:sz w:val="20"/>
              </w:rPr>
              <w:t xml:space="preserve">267,398) respectively. Interest accrued on this loan was </w:t>
            </w:r>
            <w:bookmarkStart w:id="831" w:name="xdx_90B_eus-gaap--AccruedInvestmentIncom"/>
            <w:bookmarkStart w:id="832" w:name="xdx_909_eus-gaap--AccruedInvestmentIncom"/>
            <w:bookmarkEnd w:id="831"/>
            <w:bookmarkEnd w:id="832"/>
            <w:r>
              <w:rPr>
                <w:rFonts w:ascii="Times New Roman;Times;Serif" w:hAnsi="Times New Roman;Times;Serif"/>
                <w:b w:val="false"/>
                <w:i w:val="false"/>
                <w:caps w:val="false"/>
                <w:smallCaps w:val="false"/>
                <w:sz w:val="20"/>
              </w:rPr>
              <w:t xml:space="preserve">nil and RMB </w:t>
            </w:r>
            <w:bookmarkStart w:id="833" w:name="xdx_90A_eus-gaap--AccruedInvestmentIncom"/>
            <w:bookmarkEnd w:id="833"/>
            <w:r>
              <w:rPr>
                <w:rFonts w:ascii="Times New Roman;Times;Serif" w:hAnsi="Times New Roman;Times;Serif"/>
                <w:b w:val="false"/>
                <w:i w:val="false"/>
                <w:caps w:val="false"/>
                <w:smallCaps w:val="false"/>
                <w:sz w:val="20"/>
              </w:rPr>
              <w:t>21,566 ($</w:t>
            </w:r>
            <w:bookmarkStart w:id="834" w:name="xdx_90B_eus-gaap--AccruedInvestmentIncom"/>
            <w:bookmarkEnd w:id="834"/>
            <w:r>
              <w:rPr>
                <w:rFonts w:ascii="Times New Roman;Times;Serif" w:hAnsi="Times New Roman;Times;Serif"/>
                <w:b w:val="false"/>
                <w:i w:val="false"/>
                <w:caps w:val="false"/>
                <w:smallCaps w:val="false"/>
                <w:sz w:val="20"/>
              </w:rPr>
              <w:t xml:space="preserve">3,035) as of March 31, 2026 and September 30, 2025. On June 9, 2026, Beijing Youyi repaid the outstanding loan balance of RMB </w:t>
            </w:r>
            <w:bookmarkStart w:id="835" w:name="xdx_909_eus-gaap--RepaymentsOfRelatedPar"/>
            <w:bookmarkEnd w:id="835"/>
            <w:r>
              <w:rPr>
                <w:rFonts w:ascii="Times New Roman;Times;Serif" w:hAnsi="Times New Roman;Times;Serif"/>
                <w:b w:val="false"/>
                <w:i w:val="false"/>
                <w:caps w:val="false"/>
                <w:smallCaps w:val="false"/>
                <w:sz w:val="20"/>
              </w:rPr>
              <w:t>840,000 ($</w:t>
            </w:r>
            <w:bookmarkStart w:id="836" w:name="xdx_90A_eus-gaap--RepaymentsOfRelatedPar"/>
            <w:bookmarkEnd w:id="836"/>
            <w:r>
              <w:rPr>
                <w:rFonts w:ascii="Times New Roman;Times;Serif" w:hAnsi="Times New Roman;Times;Serif"/>
                <w:b w:val="false"/>
                <w:i w:val="false"/>
                <w:caps w:val="false"/>
                <w:smallCaps w:val="false"/>
                <w:sz w:val="20"/>
              </w:rPr>
              <w:t>121,398).</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37" w:name="xdx_F08_zmrChGyzHQoh"/>
            <w:bookmarkEnd w:id="837"/>
            <w:r>
              <w:rPr>
                <w:rFonts w:ascii="Times New Roman;Times;Serif" w:hAnsi="Times New Roman;Times;Serif"/>
                <w:b w:val="false"/>
                <w:i w:val="false"/>
                <w:caps w:val="false"/>
                <w:smallCaps w:val="false"/>
                <w:sz w:val="20"/>
              </w:rPr>
              <w:t>(6)</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38" w:name="xdx_F11_zVVtv9WHV5X4"/>
            <w:bookmarkEnd w:id="838"/>
            <w:r>
              <w:rPr>
                <w:rFonts w:ascii="Times New Roman;Times;Serif" w:hAnsi="Times New Roman;Times;Serif"/>
                <w:b w:val="false"/>
                <w:i w:val="false"/>
                <w:caps w:val="false"/>
                <w:smallCaps w:val="false"/>
                <w:sz w:val="20"/>
              </w:rPr>
              <w:t xml:space="preserve">On September 29, 2025, Xinjiang Breslin lent RMB </w:t>
            </w:r>
            <w:bookmarkStart w:id="839" w:name="xdx_900_eus-gaap--AccountsNotesAndLoansR"/>
            <w:bookmarkEnd w:id="839"/>
            <w:r>
              <w:rPr>
                <w:rFonts w:ascii="Times New Roman;Times;Serif" w:hAnsi="Times New Roman;Times;Serif"/>
                <w:b w:val="false"/>
                <w:i w:val="false"/>
                <w:caps w:val="false"/>
                <w:smallCaps w:val="false"/>
                <w:sz w:val="20"/>
              </w:rPr>
              <w:t>5,000,000 ($</w:t>
            </w:r>
            <w:bookmarkStart w:id="840" w:name="xdx_903_eus-gaap--AccountsNotesAndLoansR"/>
            <w:bookmarkEnd w:id="840"/>
            <w:r>
              <w:rPr>
                <w:rFonts w:ascii="Times New Roman;Times;Serif" w:hAnsi="Times New Roman;Times;Serif"/>
                <w:b w:val="false"/>
                <w:i w:val="false"/>
                <w:caps w:val="false"/>
                <w:smallCaps w:val="false"/>
                <w:sz w:val="20"/>
              </w:rPr>
              <w:t xml:space="preserve">722,606) to Joseph Petroleum for one year with interest of </w:t>
            </w:r>
            <w:bookmarkStart w:id="841" w:name="xdx_90E_eus-gaap--DebtInstrumentInterest"/>
            <w:bookmarkEnd w:id="841"/>
            <w:r>
              <w:rPr>
                <w:rFonts w:ascii="Times New Roman;Times;Serif" w:hAnsi="Times New Roman;Times;Serif"/>
                <w:b w:val="false"/>
                <w:i w:val="false"/>
                <w:caps w:val="false"/>
                <w:smallCaps w:val="false"/>
                <w:sz w:val="20"/>
              </w:rPr>
              <w:t xml:space="preserve">3.5%. Joseph Petroleum repaid the full principal amount on October 10,2025. Interest accrued on this loan was RMB </w:t>
            </w:r>
            <w:bookmarkStart w:id="842" w:name="xdx_901_eus-gaap--AccruedInvestmentIncom"/>
            <w:bookmarkEnd w:id="842"/>
            <w:r>
              <w:rPr>
                <w:rFonts w:ascii="Times New Roman;Times;Serif" w:hAnsi="Times New Roman;Times;Serif"/>
                <w:b w:val="false"/>
                <w:i w:val="false"/>
                <w:caps w:val="false"/>
                <w:smallCaps w:val="false"/>
                <w:sz w:val="20"/>
              </w:rPr>
              <w:t>5,274 ($</w:t>
            </w:r>
            <w:bookmarkStart w:id="843" w:name="xdx_904_eus-gaap--AccruedInvestmentIncom"/>
            <w:bookmarkEnd w:id="843"/>
            <w:r>
              <w:rPr>
                <w:rFonts w:ascii="Times New Roman;Times;Serif" w:hAnsi="Times New Roman;Times;Serif"/>
                <w:b w:val="false"/>
                <w:i w:val="false"/>
                <w:caps w:val="false"/>
                <w:smallCaps w:val="false"/>
                <w:sz w:val="20"/>
              </w:rPr>
              <w:t xml:space="preserve">762) and RMB </w:t>
            </w:r>
            <w:bookmarkStart w:id="844" w:name="xdx_90C_eus-gaap--AccruedInvestmentIncom"/>
            <w:bookmarkEnd w:id="844"/>
            <w:r>
              <w:rPr>
                <w:rFonts w:ascii="Times New Roman;Times;Serif" w:hAnsi="Times New Roman;Times;Serif"/>
                <w:b w:val="false"/>
                <w:i w:val="false"/>
                <w:caps w:val="false"/>
                <w:smallCaps w:val="false"/>
                <w:sz w:val="20"/>
              </w:rPr>
              <w:t>959 ($</w:t>
            </w:r>
            <w:bookmarkStart w:id="845" w:name="xdx_90B_eus-gaap--AccruedInvestmentIncom"/>
            <w:bookmarkEnd w:id="845"/>
            <w:r>
              <w:rPr>
                <w:rFonts w:ascii="Times New Roman;Times;Serif" w:hAnsi="Times New Roman;Times;Serif"/>
                <w:b w:val="false"/>
                <w:i w:val="false"/>
                <w:caps w:val="false"/>
                <w:smallCaps w:val="false"/>
                <w:sz w:val="20"/>
              </w:rPr>
              <w:t>135) as of March 31, 2026 and September 30,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46" w:name="xdx_F0D_zYhOsHjCDmml"/>
            <w:bookmarkEnd w:id="846"/>
            <w:r>
              <w:rPr>
                <w:rFonts w:ascii="Times New Roman;Times;Serif" w:hAnsi="Times New Roman;Times;Serif"/>
                <w:b w:val="false"/>
                <w:i w:val="false"/>
                <w:caps w:val="false"/>
                <w:smallCaps w:val="false"/>
                <w:sz w:val="20"/>
              </w:rPr>
              <w:t>(7)</w:t>
            </w:r>
          </w:p>
        </w:tc>
        <w:tc>
          <w:tcPr>
            <w:tcW w:w="99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847" w:name="xdx_F1C_zwc7JQjhaqT9"/>
            <w:bookmarkEnd w:id="847"/>
            <w:r>
              <w:rPr>
                <w:rFonts w:ascii="Times New Roman;Times;Serif" w:hAnsi="Times New Roman;Times;Serif"/>
                <w:b w:val="false"/>
                <w:i w:val="false"/>
                <w:caps w:val="false"/>
                <w:smallCaps w:val="false"/>
                <w:sz w:val="20"/>
              </w:rPr>
              <w:t xml:space="preserve">On January 1, 2024, ZJY Technologies provided a credit facility of RMB </w:t>
            </w:r>
            <w:bookmarkStart w:id="848" w:name="xdx_900_eus-gaap--LineOfCredit_iI_pn6n6_"/>
            <w:bookmarkEnd w:id="848"/>
            <w:r>
              <w:rPr>
                <w:rFonts w:ascii="Times New Roman;Times;Serif" w:hAnsi="Times New Roman;Times;Serif"/>
                <w:b w:val="false"/>
                <w:i w:val="false"/>
                <w:caps w:val="false"/>
                <w:smallCaps w:val="false"/>
                <w:sz w:val="20"/>
              </w:rPr>
              <w:t>25 million ($</w:t>
            </w:r>
            <w:bookmarkStart w:id="849" w:name="xdx_902_eus-gaap--LineOfCredit_iI_uUSD_c"/>
            <w:bookmarkEnd w:id="849"/>
            <w:r>
              <w:rPr>
                <w:rFonts w:ascii="Times New Roman;Times;Serif" w:hAnsi="Times New Roman;Times;Serif"/>
                <w:b w:val="false"/>
                <w:i w:val="false"/>
                <w:caps w:val="false"/>
                <w:smallCaps w:val="false"/>
                <w:sz w:val="20"/>
              </w:rPr>
              <w:t xml:space="preserve">3,482,767) to Beijing Chenghui Shengsi Technology Co., Ltd (“Beijing Chenghui”) with annual interest of </w:t>
            </w:r>
            <w:bookmarkStart w:id="850" w:name="xdx_906_eus-gaap--DebtInstrumentInterest"/>
            <w:bookmarkEnd w:id="850"/>
            <w:r>
              <w:rPr>
                <w:rFonts w:ascii="Times New Roman;Times;Serif" w:hAnsi="Times New Roman;Times;Serif"/>
                <w:b w:val="false"/>
                <w:i w:val="false"/>
                <w:caps w:val="false"/>
                <w:smallCaps w:val="false"/>
                <w:sz w:val="20"/>
              </w:rPr>
              <w:t xml:space="preserve">3.5% and a term of </w:t>
            </w:r>
            <w:bookmarkStart w:id="851" w:name="xdx_90C_eus-gaap--DebtInstrumentTerm_dc_"/>
            <w:bookmarkEnd w:id="851"/>
            <w:r>
              <w:rPr>
                <w:rFonts w:ascii="Times New Roman;Times;Serif" w:hAnsi="Times New Roman;Times;Serif"/>
                <w:b w:val="false"/>
                <w:i w:val="false"/>
                <w:caps w:val="false"/>
                <w:smallCaps w:val="false"/>
                <w:sz w:val="20"/>
              </w:rPr>
              <w:t xml:space="preserve">three years. Beijing Chenghui drew down a total of RMB </w:t>
            </w:r>
            <w:bookmarkStart w:id="852" w:name="xdx_902_eus-gaap--LineOfCredit_iI_pn4n6_"/>
            <w:bookmarkEnd w:id="852"/>
            <w:r>
              <w:rPr>
                <w:rFonts w:ascii="Times New Roman;Times;Serif" w:hAnsi="Times New Roman;Times;Serif"/>
                <w:b w:val="false"/>
                <w:i w:val="false"/>
                <w:caps w:val="false"/>
                <w:smallCaps w:val="false"/>
                <w:sz w:val="20"/>
              </w:rPr>
              <w:t>31.33 million ($</w:t>
            </w:r>
            <w:bookmarkStart w:id="853" w:name="xdx_90B_eus-gaap--LineOfCredit_iI_uUSD_c"/>
            <w:bookmarkEnd w:id="853"/>
            <w:r>
              <w:rPr>
                <w:rFonts w:ascii="Times New Roman;Times;Serif" w:hAnsi="Times New Roman;Times;Serif"/>
                <w:b w:val="false"/>
                <w:i w:val="false"/>
                <w:caps w:val="false"/>
                <w:smallCaps w:val="false"/>
                <w:sz w:val="20"/>
              </w:rPr>
              <w:t xml:space="preserve">4,527,849) from October 2024 to October 2025 and repaid RMB </w:t>
            </w:r>
            <w:bookmarkStart w:id="854" w:name="xdx_90F_eus-gaap--RepaymentsOfDebt_pn4n6"/>
            <w:bookmarkEnd w:id="854"/>
            <w:r>
              <w:rPr>
                <w:rFonts w:ascii="Times New Roman;Times;Serif" w:hAnsi="Times New Roman;Times;Serif"/>
                <w:b w:val="false"/>
                <w:i w:val="false"/>
                <w:caps w:val="false"/>
                <w:smallCaps w:val="false"/>
                <w:sz w:val="20"/>
              </w:rPr>
              <w:t>21.19 million ($</w:t>
            </w:r>
            <w:bookmarkStart w:id="855" w:name="xdx_909_eus-gaap--RepaymentsOfDebt_uUSD_"/>
            <w:bookmarkEnd w:id="855"/>
            <w:r>
              <w:rPr>
                <w:rFonts w:ascii="Times New Roman;Times;Serif" w:hAnsi="Times New Roman;Times;Serif"/>
                <w:b w:val="false"/>
                <w:i w:val="false"/>
                <w:caps w:val="false"/>
                <w:smallCaps w:val="false"/>
                <w:sz w:val="20"/>
              </w:rPr>
              <w:t>3,062,404) in September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and September 30, 2025, the outstanding loan receivable from Beijing Chenghui amounted to RMB </w:t>
            </w:r>
            <w:bookmarkStart w:id="856" w:name="xdx_908_eus-gaap--DebtInstrumentRepaidPr"/>
            <w:bookmarkEnd w:id="856"/>
            <w:r>
              <w:rPr>
                <w:rFonts w:ascii="Times New Roman;Times;Serif" w:hAnsi="Times New Roman;Times;Serif"/>
                <w:b w:val="false"/>
                <w:i w:val="false"/>
                <w:caps w:val="false"/>
                <w:smallCaps w:val="false"/>
                <w:sz w:val="20"/>
              </w:rPr>
              <w:t>10,135,000 ($</w:t>
            </w:r>
            <w:bookmarkStart w:id="857" w:name="xdx_90B_eus-gaap--DebtInstrumentRepaidPr"/>
            <w:bookmarkEnd w:id="857"/>
            <w:r>
              <w:rPr>
                <w:rFonts w:ascii="Times New Roman;Times;Serif" w:hAnsi="Times New Roman;Times;Serif"/>
                <w:b w:val="false"/>
                <w:i w:val="false"/>
                <w:caps w:val="false"/>
                <w:smallCaps w:val="false"/>
                <w:sz w:val="20"/>
              </w:rPr>
              <w:t>1,464,722) and RMB</w:t>
            </w:r>
            <w:bookmarkStart w:id="858" w:name="xdx_901_eus-gaap--DebtInstrumentRepaidPr"/>
            <w:bookmarkEnd w:id="858"/>
            <w:r>
              <w:rPr>
                <w:rFonts w:ascii="Times New Roman;Times;Serif" w:hAnsi="Times New Roman;Times;Serif"/>
                <w:b w:val="false"/>
                <w:i w:val="false"/>
                <w:caps w:val="false"/>
                <w:smallCaps w:val="false"/>
                <w:sz w:val="20"/>
              </w:rPr>
              <w:t>135,000($</w:t>
            </w:r>
            <w:bookmarkStart w:id="859" w:name="xdx_901_eus-gaap--DebtInstrumentRepaidPr"/>
            <w:bookmarkEnd w:id="859"/>
            <w:r>
              <w:rPr>
                <w:rFonts w:ascii="Times New Roman;Times;Serif" w:hAnsi="Times New Roman;Times;Serif"/>
                <w:b w:val="false"/>
                <w:i w:val="false"/>
                <w:caps w:val="false"/>
                <w:smallCaps w:val="false"/>
                <w:sz w:val="20"/>
              </w:rPr>
              <w:t xml:space="preserve">18,999) respectively. Interest accrued from Beijing Chenghui was RMB </w:t>
            </w:r>
            <w:bookmarkStart w:id="860" w:name="xdx_908_eus-gaap--AccruedInvestmentIncom"/>
            <w:bookmarkEnd w:id="860"/>
            <w:r>
              <w:rPr>
                <w:rFonts w:ascii="Times New Roman;Times;Serif" w:hAnsi="Times New Roman;Times;Serif"/>
                <w:b w:val="false"/>
                <w:i w:val="false"/>
                <w:caps w:val="false"/>
                <w:smallCaps w:val="false"/>
                <w:sz w:val="20"/>
              </w:rPr>
              <w:t>796,254 ($</w:t>
            </w:r>
            <w:bookmarkStart w:id="861" w:name="xdx_908_eus-gaap--AccruedInvestmentIncom"/>
            <w:bookmarkEnd w:id="861"/>
            <w:r>
              <w:rPr>
                <w:rFonts w:ascii="Times New Roman;Times;Serif" w:hAnsi="Times New Roman;Times;Serif"/>
                <w:b w:val="false"/>
                <w:i w:val="false"/>
                <w:caps w:val="false"/>
                <w:smallCaps w:val="false"/>
                <w:sz w:val="20"/>
              </w:rPr>
              <w:t xml:space="preserve">115,075) and RMB </w:t>
            </w:r>
            <w:bookmarkStart w:id="862" w:name="xdx_908_eus-gaap--AccruedInvestmentIncom"/>
            <w:bookmarkEnd w:id="862"/>
            <w:r>
              <w:rPr>
                <w:rFonts w:ascii="Times New Roman;Times;Serif" w:hAnsi="Times New Roman;Times;Serif"/>
                <w:b w:val="false"/>
                <w:i w:val="false"/>
                <w:caps w:val="false"/>
                <w:smallCaps w:val="false"/>
                <w:sz w:val="20"/>
              </w:rPr>
              <w:t>628,008 ($</w:t>
            </w:r>
            <w:bookmarkStart w:id="863" w:name="xdx_902_eus-gaap--AccruedInvestmentIncom"/>
            <w:bookmarkEnd w:id="863"/>
            <w:r>
              <w:rPr>
                <w:rFonts w:ascii="Times New Roman;Times;Serif" w:hAnsi="Times New Roman;Times;Serif"/>
                <w:b w:val="false"/>
                <w:i w:val="false"/>
                <w:caps w:val="false"/>
                <w:smallCaps w:val="false"/>
                <w:sz w:val="20"/>
              </w:rPr>
              <w:t>88,384) as of March 31, 2026 and September 30,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Beijing Chenghui, ZJY Technologies, Leishen Shandong, and Sichuan TIBO executed a debt offset agreement, under which Beijing Chenghui directly repays to Sichuan TIBO all principal and interest owed to ZJY Technologies, and all chain debts among the four parties are simultaneously settled in full.</w:t>
            </w:r>
          </w:p>
        </w:tc>
      </w:tr>
    </w:tbl>
    <w:p>
      <w:pPr>
        <w:pStyle w:val="TextBody"/>
        <w:bidi w:val="0"/>
        <w:spacing w:before="0" w:after="0"/>
        <w:ind w:left="0" w:right="0" w:hanging="0"/>
        <w:jc w:val="both"/>
        <w:rPr>
          <w:caps w:val="false"/>
          <w:smallCaps w:val="false"/>
        </w:rPr>
      </w:pPr>
      <w:bookmarkStart w:id="864" w:name="xdx_8A6_zCk7RYA3AMml"/>
      <w:bookmarkEnd w:id="8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accrued on all the above-mentioned loans receivable was RMB </w:t>
      </w:r>
      <w:bookmarkStart w:id="865" w:name="xdx_909_eus-gaap--AccruedInvestmentIncom"/>
      <w:bookmarkEnd w:id="865"/>
      <w:r>
        <w:rPr>
          <w:rFonts w:ascii="Times New Roman;Times;Serif" w:hAnsi="Times New Roman;Times;Serif"/>
          <w:b w:val="false"/>
          <w:i w:val="false"/>
          <w:caps w:val="false"/>
          <w:smallCaps w:val="false"/>
          <w:sz w:val="20"/>
        </w:rPr>
        <w:t>1,682,606 ($</w:t>
      </w:r>
      <w:bookmarkStart w:id="866" w:name="xdx_90F_eus-gaap--AccruedInvestmentIncom"/>
      <w:bookmarkEnd w:id="866"/>
      <w:r>
        <w:rPr>
          <w:rFonts w:ascii="Times New Roman;Times;Serif" w:hAnsi="Times New Roman;Times;Serif"/>
          <w:b w:val="false"/>
          <w:i w:val="false"/>
          <w:caps w:val="false"/>
          <w:smallCaps w:val="false"/>
          <w:sz w:val="20"/>
        </w:rPr>
        <w:t>243,172) and RMB</w:t>
      </w:r>
      <w:bookmarkStart w:id="867" w:name="xdx_904_eus-gaap--AccruedInvestmentIncom"/>
      <w:bookmarkEnd w:id="867"/>
      <w:r>
        <w:rPr>
          <w:rFonts w:ascii="Times New Roman;Times;Serif" w:hAnsi="Times New Roman;Times;Serif"/>
          <w:b w:val="false"/>
          <w:i w:val="false"/>
          <w:caps w:val="false"/>
          <w:smallCaps w:val="false"/>
          <w:sz w:val="20"/>
        </w:rPr>
        <w:t>1,093,253 ($</w:t>
      </w:r>
      <w:bookmarkStart w:id="868" w:name="xdx_904_eus-gaap--AccruedInvestmentIncom"/>
      <w:bookmarkEnd w:id="868"/>
      <w:r>
        <w:rPr>
          <w:rFonts w:ascii="Times New Roman;Times;Serif" w:hAnsi="Times New Roman;Times;Serif"/>
          <w:b w:val="false"/>
          <w:i w:val="false"/>
          <w:caps w:val="false"/>
          <w:smallCaps w:val="false"/>
          <w:sz w:val="20"/>
        </w:rPr>
        <w:t>153,860) as of March 31, 2026 and September 30, 2025 respectively.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69" w:name="xdx_801_eus-gaap--DebtDisclosureTextBloc"/>
      <w:bookmarkEnd w:id="869"/>
      <w:r>
        <w:rPr>
          <w:rFonts w:ascii="Times New Roman;Times;Serif" w:hAnsi="Times New Roman;Times;Serif"/>
          <w:b/>
          <w:i w:val="false"/>
          <w:caps w:val="false"/>
          <w:smallCaps w:val="false"/>
          <w:sz w:val="20"/>
        </w:rPr>
        <w:t>NOTE 13 –</w:t>
      </w:r>
      <w:bookmarkStart w:id="870" w:name="xdx_822_zw3Bt5w99uv7"/>
      <w:bookmarkEnd w:id="870"/>
      <w:r>
        <w:rPr>
          <w:rFonts w:ascii="Times New Roman;Times;Serif" w:hAnsi="Times New Roman;Times;Serif"/>
          <w:b/>
          <w:i w:val="false"/>
          <w:caps w:val="false"/>
          <w:smallCaps w:val="false"/>
          <w:sz w:val="20"/>
        </w:rPr>
        <w:t>BANK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1" w:name="xdx_891_eus-gaap--ScheduleOfDebtInstrume"/>
      <w:bookmarkEnd w:id="871"/>
      <w:r>
        <w:rPr>
          <w:rFonts w:ascii="Times New Roman;Times;Serif" w:hAnsi="Times New Roman;Times;Serif"/>
          <w:b w:val="false"/>
          <w:i w:val="false"/>
          <w:caps w:val="false"/>
          <w:smallCaps w:val="false"/>
          <w:sz w:val="20"/>
        </w:rPr>
        <w:t>The loans of the Company consisted of the following:</w:t>
      </w:r>
    </w:p>
    <w:p>
      <w:pPr>
        <w:pStyle w:val="TextBody"/>
        <w:bidi w:val="0"/>
        <w:spacing w:before="0" w:after="0"/>
        <w:ind w:left="0" w:right="0" w:hanging="0"/>
        <w:jc w:val="both"/>
        <w:rPr>
          <w:caps w:val="false"/>
          <w:smallCaps w:val="false"/>
        </w:rPr>
      </w:pPr>
      <w:r>
        <w:rPr>
          <w:caps w:val="false"/>
          <w:smallCaps w:val="false"/>
        </w:rPr>
        <w:t>  </w:t>
      </w:r>
      <w:bookmarkStart w:id="872" w:name="xdx_8BF_zn4EVsmdI7Cb"/>
      <w:bookmarkEnd w:id="872"/>
      <w:r>
        <w:rPr>
          <w:rFonts w:ascii="Times New Roman;Times;Serif" w:hAnsi="Times New Roman;Times;Serif"/>
          <w:b w:val="false"/>
          <w:i w:val="false"/>
          <w:caps w:val="false"/>
          <w:smallCaps w:val="false"/>
          <w:sz w:val="20"/>
        </w:rPr>
        <w:t>SCHEDULE OF BANK LOANS </w:t>
      </w:r>
    </w:p>
    <w:tbl>
      <w:tblPr>
        <w:tblW w:w="9578" w:type="dxa"/>
        <w:jc w:val="left"/>
        <w:tblInd w:w="0" w:type="dxa"/>
        <w:tblLayout w:type="fixed"/>
        <w:tblCellMar>
          <w:top w:w="0" w:type="dxa"/>
          <w:left w:w="0" w:type="dxa"/>
          <w:bottom w:w="0" w:type="dxa"/>
          <w:right w:w="0" w:type="dxa"/>
        </w:tblCellMar>
      </w:tblPr>
      <w:tblGrid>
        <w:gridCol w:w="3440"/>
        <w:gridCol w:w="60"/>
        <w:gridCol w:w="191"/>
        <w:gridCol w:w="1343"/>
        <w:gridCol w:w="60"/>
        <w:gridCol w:w="60"/>
        <w:gridCol w:w="209"/>
        <w:gridCol w:w="1550"/>
        <w:gridCol w:w="215"/>
        <w:gridCol w:w="60"/>
        <w:gridCol w:w="239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Interest 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bottom w:val="single" w:sz="8" w:space="0" w:color="000000"/>
            </w:tcBorders>
            <w:tcMar>
              <w:bottom w:w="28" w:type="dxa"/>
            </w:tcMar>
            <w:vAlign w:val="center"/>
          </w:tcPr>
          <w:p>
            <w:pPr>
              <w:pStyle w:val="TableContents"/>
              <w:bidi w:val="0"/>
              <w:spacing w:before="0" w:after="283"/>
              <w:jc w:val="center"/>
              <w:rPr>
                <w:b/>
              </w:rPr>
            </w:pPr>
            <w:r>
              <w:rPr>
                <w:b/>
              </w:rPr>
              <w:t>Contract term</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r>
      <w:tr>
        <w:trPr/>
        <w:tc>
          <w:tcPr>
            <w:tcW w:w="3440" w:type="dxa"/>
            <w:tcBorders/>
            <w:shd w:fill="CCEEFF" w:val="clear"/>
            <w:vAlign w:val="center"/>
          </w:tcPr>
          <w:p>
            <w:pPr>
              <w:pStyle w:val="TableContents"/>
              <w:bidi w:val="0"/>
              <w:spacing w:before="0" w:after="283"/>
              <w:jc w:val="left"/>
              <w:rPr/>
            </w:pPr>
            <w:r>
              <w:rPr/>
              <w:t>Industrial and Commercial Bank (1)</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873" w:name="xdx_987_eus-gaap--LongTermDebt_iI_c20260"/>
            <w:bookmarkEnd w:id="873"/>
          </w:p>
        </w:tc>
        <w:tc>
          <w:tcPr>
            <w:tcW w:w="1343" w:type="dxa"/>
            <w:tcBorders/>
            <w:shd w:fill="CCEEFF" w:val="clear"/>
            <w:vAlign w:val="center"/>
          </w:tcPr>
          <w:p>
            <w:pPr>
              <w:pStyle w:val="TableContents"/>
              <w:bidi w:val="0"/>
              <w:spacing w:before="0" w:after="283"/>
              <w:jc w:val="right"/>
              <w:rPr/>
            </w:pPr>
            <w:r>
              <w:rPr/>
              <w:t>1,445,212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874" w:name="xdx_989_eus-gaap--DebtInstrumentInterest"/>
            <w:bookmarkEnd w:id="874"/>
          </w:p>
        </w:tc>
        <w:tc>
          <w:tcPr>
            <w:tcW w:w="1550" w:type="dxa"/>
            <w:tcBorders/>
            <w:shd w:fill="CCEEFF" w:val="clear"/>
            <w:vAlign w:val="center"/>
          </w:tcPr>
          <w:p>
            <w:pPr>
              <w:pStyle w:val="TableContents"/>
              <w:bidi w:val="0"/>
              <w:spacing w:before="0" w:after="283"/>
              <w:jc w:val="right"/>
              <w:rPr/>
            </w:pPr>
            <w:r>
              <w:rPr/>
              <w:t>2.35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bookmarkStart w:id="875" w:name="xdx_901_eus-gaap--DebtInstrumentMaturity"/>
            <w:bookmarkEnd w:id="875"/>
            <w:r>
              <w:rPr/>
              <w:t xml:space="preserve">2026-03-16- </w:t>
            </w:r>
            <w:bookmarkStart w:id="876" w:name="xdx_907_eus-gaap--DebtInstrumentMaturity"/>
            <w:bookmarkEnd w:id="876"/>
            <w:r>
              <w:rPr/>
              <w:t>2027-03-15</w:t>
            </w:r>
          </w:p>
        </w:tc>
      </w:tr>
      <w:tr>
        <w:trPr/>
        <w:tc>
          <w:tcPr>
            <w:tcW w:w="3440" w:type="dxa"/>
            <w:tcBorders/>
            <w:shd w:fill="FFFFFF" w:val="clear"/>
            <w:vAlign w:val="center"/>
          </w:tcPr>
          <w:p>
            <w:pPr>
              <w:pStyle w:val="TableContents"/>
              <w:bidi w:val="0"/>
              <w:spacing w:before="0" w:after="283"/>
              <w:jc w:val="left"/>
              <w:rPr/>
            </w:pPr>
            <w:r>
              <w:rPr/>
              <w:t>Industrial and Commercial Bank (2)</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7" w:name="xdx_98A_eus-gaap--LongTermDebt_iI_c20260"/>
            <w:bookmarkEnd w:id="877"/>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1,445,212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878" w:name="xdx_98C_eus-gaap--DebtInstrumentInterest"/>
            <w:bookmarkEnd w:id="878"/>
          </w:p>
        </w:tc>
        <w:tc>
          <w:tcPr>
            <w:tcW w:w="1550" w:type="dxa"/>
            <w:tcBorders/>
            <w:shd w:fill="FFFFFF" w:val="clear"/>
            <w:vAlign w:val="center"/>
          </w:tcPr>
          <w:p>
            <w:pPr>
              <w:pStyle w:val="TableContents"/>
              <w:bidi w:val="0"/>
              <w:spacing w:before="0" w:after="283"/>
              <w:jc w:val="right"/>
              <w:rPr/>
            </w:pPr>
            <w:r>
              <w:rPr/>
              <w:t>2.35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center"/>
              <w:rPr/>
            </w:pPr>
            <w:bookmarkStart w:id="879" w:name="xdx_901_eus-gaap--DebtInstrumentMaturity"/>
            <w:bookmarkEnd w:id="879"/>
            <w:r>
              <w:rPr/>
              <w:t xml:space="preserve">2026-03-25- </w:t>
            </w:r>
            <w:bookmarkStart w:id="880" w:name="xdx_904_eus-gaap--DebtInstrumentMaturity"/>
            <w:bookmarkEnd w:id="880"/>
            <w:r>
              <w:rPr/>
              <w:t>2027-03-19</w:t>
            </w:r>
          </w:p>
        </w:tc>
      </w:tr>
      <w:tr>
        <w:trPr/>
        <w:tc>
          <w:tcPr>
            <w:tcW w:w="3440" w:type="dxa"/>
            <w:tcBorders/>
            <w:shd w:fill="CCEEFF" w:val="clear"/>
            <w:vAlign w:val="center"/>
          </w:tcPr>
          <w:p>
            <w:pPr>
              <w:pStyle w:val="TableContents"/>
              <w:bidi w:val="0"/>
              <w:spacing w:before="0" w:after="283"/>
              <w:jc w:val="left"/>
              <w:rPr>
                <w:b/>
              </w:rPr>
            </w:pPr>
            <w:r>
              <w:rPr>
                <w:b/>
              </w:rPr>
              <w:t>Total loans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b/>
              </w:rPr>
            </w:pPr>
            <w:r>
              <w:rPr>
                <w:b/>
              </w:rPr>
              <w:t>$</w:t>
            </w:r>
            <w:bookmarkStart w:id="881" w:name="xdx_98A_eus-gaap--LoansPayable_iI_c20260"/>
            <w:bookmarkEnd w:id="881"/>
          </w:p>
        </w:tc>
        <w:tc>
          <w:tcPr>
            <w:tcW w:w="1343" w:type="dxa"/>
            <w:tcBorders/>
            <w:shd w:fill="CCEEFF" w:val="clear"/>
            <w:vAlign w:val="center"/>
          </w:tcPr>
          <w:p>
            <w:pPr>
              <w:pStyle w:val="TableContents"/>
              <w:bidi w:val="0"/>
              <w:spacing w:before="0" w:after="283"/>
              <w:jc w:val="right"/>
              <w:rPr>
                <w:b/>
              </w:rPr>
            </w:pPr>
            <w:r>
              <w:rPr>
                <w:b/>
              </w:rPr>
              <w:t>2,890,424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 </w:t>
            </w:r>
          </w:p>
        </w:tc>
      </w:tr>
      <w:tr>
        <w:trPr/>
        <w:tc>
          <w:tcPr>
            <w:tcW w:w="3440" w:type="dxa"/>
            <w:tcBorders/>
            <w:shd w:fill="FFFFFF" w:val="clear"/>
            <w:vAlign w:val="center"/>
          </w:tcPr>
          <w:p>
            <w:pPr>
              <w:pStyle w:val="TableContents"/>
              <w:bidi w:val="0"/>
              <w:spacing w:before="0" w:after="283"/>
              <w:jc w:val="left"/>
              <w:rPr>
                <w:b/>
              </w:rPr>
            </w:pPr>
            <w:r>
              <w:rPr>
                <w:b/>
              </w:rPr>
              <w:t>Less: current portion</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bookmarkStart w:id="882" w:name="xdx_983_eus-gaap--LoansPayableCurrent_iI"/>
            <w:bookmarkEnd w:id="882"/>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2,890,424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center"/>
              <w:rPr/>
            </w:pPr>
            <w:r>
              <w:rPr/>
              <w:t> </w:t>
            </w:r>
          </w:p>
        </w:tc>
      </w:tr>
      <w:tr>
        <w:trPr/>
        <w:tc>
          <w:tcPr>
            <w:tcW w:w="3440" w:type="dxa"/>
            <w:tcBorders/>
            <w:shd w:fill="CCEEFF" w:val="clear"/>
            <w:vAlign w:val="center"/>
          </w:tcPr>
          <w:p>
            <w:pPr>
              <w:pStyle w:val="TableContents"/>
              <w:bidi w:val="0"/>
              <w:spacing w:before="0" w:after="283"/>
              <w:jc w:val="left"/>
              <w:rPr>
                <w:b/>
              </w:rPr>
            </w:pPr>
            <w:r>
              <w:rPr>
                <w:b/>
              </w:rPr>
              <w:t>Long-term loans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883" w:name="xdx_98D_eus-gaap--LongTermLoansPayable_i"/>
            <w:bookmarkEnd w:id="883"/>
          </w:p>
        </w:tc>
        <w:tc>
          <w:tcPr>
            <w:tcW w:w="134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0"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76" w:type="dxa"/>
        <w:jc w:val="left"/>
        <w:tblInd w:w="0" w:type="dxa"/>
        <w:tblLayout w:type="fixed"/>
        <w:tblCellMar>
          <w:top w:w="0" w:type="dxa"/>
          <w:left w:w="0" w:type="dxa"/>
          <w:bottom w:w="0" w:type="dxa"/>
          <w:right w:w="0" w:type="dxa"/>
        </w:tblCellMar>
      </w:tblPr>
      <w:tblGrid>
        <w:gridCol w:w="3440"/>
        <w:gridCol w:w="60"/>
        <w:gridCol w:w="191"/>
        <w:gridCol w:w="1343"/>
        <w:gridCol w:w="69"/>
        <w:gridCol w:w="69"/>
        <w:gridCol w:w="209"/>
        <w:gridCol w:w="1550"/>
        <w:gridCol w:w="215"/>
        <w:gridCol w:w="60"/>
        <w:gridCol w:w="2270"/>
      </w:tblGrid>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Interest Rate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0" w:type="dxa"/>
            <w:tcBorders>
              <w:bottom w:val="single" w:sz="8" w:space="0" w:color="000000"/>
            </w:tcBorders>
            <w:tcMar>
              <w:bottom w:w="28" w:type="dxa"/>
            </w:tcMar>
            <w:vAlign w:val="center"/>
          </w:tcPr>
          <w:p>
            <w:pPr>
              <w:pStyle w:val="TableContents"/>
              <w:bidi w:val="0"/>
              <w:spacing w:before="0" w:after="283"/>
              <w:jc w:val="center"/>
              <w:rPr>
                <w:b/>
              </w:rPr>
            </w:pPr>
            <w:r>
              <w:rPr>
                <w:b/>
              </w:rPr>
              <w:t>Contract term</w:t>
            </w:r>
          </w:p>
        </w:tc>
      </w:tr>
      <w:tr>
        <w:trPr/>
        <w:tc>
          <w:tcPr>
            <w:tcW w:w="3440" w:type="dxa"/>
            <w:tcBorders/>
            <w:shd w:fill="CCEEFF" w:val="clear"/>
            <w:vAlign w:val="center"/>
          </w:tcPr>
          <w:p>
            <w:pPr>
              <w:pStyle w:val="TableContents"/>
              <w:bidi w:val="0"/>
              <w:spacing w:before="0" w:after="283"/>
              <w:jc w:val="left"/>
              <w:rPr/>
            </w:pPr>
            <w:r>
              <w:rPr/>
              <w:t>Bank of China (3)</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884" w:name="xdx_98C_eus-gaap--LongTermDebt_iI_c20250"/>
            <w:bookmarkEnd w:id="884"/>
          </w:p>
        </w:tc>
        <w:tc>
          <w:tcPr>
            <w:tcW w:w="1343" w:type="dxa"/>
            <w:tcBorders/>
            <w:shd w:fill="CCEEFF" w:val="clear"/>
            <w:vAlign w:val="center"/>
          </w:tcPr>
          <w:p>
            <w:pPr>
              <w:pStyle w:val="TableContents"/>
              <w:bidi w:val="0"/>
              <w:spacing w:before="0" w:after="283"/>
              <w:jc w:val="right"/>
              <w:rPr/>
            </w:pPr>
            <w:r>
              <w:rPr/>
              <w:t>253,326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885" w:name="xdx_987_eus-gaap--DebtInstrumentInterest"/>
            <w:bookmarkEnd w:id="885"/>
          </w:p>
        </w:tc>
        <w:tc>
          <w:tcPr>
            <w:tcW w:w="1550" w:type="dxa"/>
            <w:tcBorders/>
            <w:shd w:fill="CCEEFF" w:val="clear"/>
            <w:vAlign w:val="center"/>
          </w:tcPr>
          <w:p>
            <w:pPr>
              <w:pStyle w:val="TableContents"/>
              <w:bidi w:val="0"/>
              <w:spacing w:before="0" w:after="283"/>
              <w:jc w:val="right"/>
              <w:rPr/>
            </w:pPr>
            <w:r>
              <w:rPr/>
              <w:t>3.35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center"/>
              <w:rPr/>
            </w:pPr>
            <w:bookmarkStart w:id="886" w:name="xdx_901_eus-gaap--DebtInstrumentMaturity"/>
            <w:bookmarkEnd w:id="886"/>
            <w:r>
              <w:rPr/>
              <w:t>2024/10/16-</w:t>
            </w:r>
            <w:bookmarkStart w:id="887" w:name="xdx_90F_eus-gaap--DebtInstrumentMaturity"/>
            <w:bookmarkEnd w:id="887"/>
            <w:r>
              <w:rPr/>
              <w:t>2025/10/15</w:t>
            </w:r>
          </w:p>
        </w:tc>
      </w:tr>
      <w:tr>
        <w:trPr/>
        <w:tc>
          <w:tcPr>
            <w:tcW w:w="3440" w:type="dxa"/>
            <w:tcBorders/>
            <w:shd w:fill="FFFFFF" w:val="clear"/>
            <w:vAlign w:val="center"/>
          </w:tcPr>
          <w:p>
            <w:pPr>
              <w:pStyle w:val="TableContents"/>
              <w:bidi w:val="0"/>
              <w:spacing w:before="0" w:after="283"/>
              <w:jc w:val="left"/>
              <w:rPr/>
            </w:pPr>
            <w:r>
              <w:rPr/>
              <w:t>Industrial and Commercial Bank (4)</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888" w:name="xdx_98D_eus-gaap--LongTermDebt_iI_c20250"/>
            <w:bookmarkEnd w:id="888"/>
          </w:p>
        </w:tc>
        <w:tc>
          <w:tcPr>
            <w:tcW w:w="1343" w:type="dxa"/>
            <w:tcBorders/>
            <w:shd w:fill="FFFFFF" w:val="clear"/>
            <w:vAlign w:val="center"/>
          </w:tcPr>
          <w:p>
            <w:pPr>
              <w:pStyle w:val="TableContents"/>
              <w:bidi w:val="0"/>
              <w:spacing w:before="0" w:after="283"/>
              <w:jc w:val="right"/>
              <w:rPr/>
            </w:pPr>
            <w:r>
              <w:rPr/>
              <w:t>1,407,360</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bookmarkStart w:id="889" w:name="xdx_98A_eus-gaap--DebtInstrumentInterest"/>
            <w:bookmarkEnd w:id="889"/>
          </w:p>
        </w:tc>
        <w:tc>
          <w:tcPr>
            <w:tcW w:w="1550" w:type="dxa"/>
            <w:tcBorders/>
            <w:shd w:fill="FFFFFF" w:val="clear"/>
            <w:vAlign w:val="center"/>
          </w:tcPr>
          <w:p>
            <w:pPr>
              <w:pStyle w:val="TableContents"/>
              <w:bidi w:val="0"/>
              <w:spacing w:before="0" w:after="283"/>
              <w:jc w:val="right"/>
              <w:rPr/>
            </w:pPr>
            <w:r>
              <w:rPr/>
              <w:t>2.45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center"/>
              <w:rPr/>
            </w:pPr>
            <w:bookmarkStart w:id="890" w:name="xdx_90C_eus-gaap--DebtInstrumentMaturity"/>
            <w:bookmarkEnd w:id="890"/>
            <w:r>
              <w:rPr/>
              <w:t>2025/3/18-</w:t>
            </w:r>
            <w:bookmarkStart w:id="891" w:name="xdx_904_eus-gaap--DebtInstrumentMaturity"/>
            <w:bookmarkEnd w:id="891"/>
            <w:r>
              <w:rPr/>
              <w:t>2026/03/17</w:t>
            </w:r>
          </w:p>
        </w:tc>
      </w:tr>
      <w:tr>
        <w:trPr/>
        <w:tc>
          <w:tcPr>
            <w:tcW w:w="3440" w:type="dxa"/>
            <w:tcBorders/>
            <w:shd w:fill="CCEEFF" w:val="clear"/>
            <w:vAlign w:val="center"/>
          </w:tcPr>
          <w:p>
            <w:pPr>
              <w:pStyle w:val="TableContents"/>
              <w:bidi w:val="0"/>
              <w:spacing w:before="0" w:after="283"/>
              <w:jc w:val="left"/>
              <w:rPr/>
            </w:pPr>
            <w:r>
              <w:rPr/>
              <w:t>Industrial and Commercial Bank (5)</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2" w:name="xdx_986_eus-gaap--LongTermDebt_iI_c20250"/>
            <w:bookmarkEnd w:id="892"/>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pPr>
            <w:r>
              <w:rPr/>
              <w:t>1,407,360</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bookmarkStart w:id="893" w:name="xdx_981_eus-gaap--DebtInstrumentInterest"/>
            <w:bookmarkEnd w:id="893"/>
          </w:p>
        </w:tc>
        <w:tc>
          <w:tcPr>
            <w:tcW w:w="1550" w:type="dxa"/>
            <w:tcBorders/>
            <w:shd w:fill="CCEEFF" w:val="clear"/>
            <w:vAlign w:val="center"/>
          </w:tcPr>
          <w:p>
            <w:pPr>
              <w:pStyle w:val="TableContents"/>
              <w:bidi w:val="0"/>
              <w:spacing w:before="0" w:after="283"/>
              <w:jc w:val="right"/>
              <w:rPr/>
            </w:pPr>
            <w:r>
              <w:rPr/>
              <w:t>2.45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center"/>
              <w:rPr/>
            </w:pPr>
            <w:bookmarkStart w:id="894" w:name="xdx_90A_eus-gaap--DebtInstrumentMaturity"/>
            <w:bookmarkEnd w:id="894"/>
            <w:r>
              <w:rPr/>
              <w:t>2025/3/25-</w:t>
            </w:r>
            <w:bookmarkStart w:id="895" w:name="xdx_903_eus-gaap--DebtInstrumentMaturity"/>
            <w:bookmarkEnd w:id="895"/>
            <w:r>
              <w:rPr/>
              <w:t>2026/03/24</w:t>
            </w:r>
          </w:p>
        </w:tc>
      </w:tr>
      <w:tr>
        <w:trPr/>
        <w:tc>
          <w:tcPr>
            <w:tcW w:w="3440" w:type="dxa"/>
            <w:tcBorders/>
            <w:shd w:fill="FFFFFF" w:val="clear"/>
            <w:vAlign w:val="center"/>
          </w:tcPr>
          <w:p>
            <w:pPr>
              <w:pStyle w:val="TableContents"/>
              <w:bidi w:val="0"/>
              <w:spacing w:before="0" w:after="283"/>
              <w:jc w:val="left"/>
              <w:rPr>
                <w:b/>
              </w:rPr>
            </w:pPr>
            <w:r>
              <w:rPr>
                <w:b/>
              </w:rPr>
              <w:t>Total loans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896" w:name="xdx_985_eus-gaap--LoansPayable_iI_c20250"/>
            <w:bookmarkEnd w:id="896"/>
          </w:p>
        </w:tc>
        <w:tc>
          <w:tcPr>
            <w:tcW w:w="1343" w:type="dxa"/>
            <w:tcBorders/>
            <w:shd w:fill="FFFFFF" w:val="clear"/>
            <w:vAlign w:val="center"/>
          </w:tcPr>
          <w:p>
            <w:pPr>
              <w:pStyle w:val="TableContents"/>
              <w:bidi w:val="0"/>
              <w:spacing w:before="0" w:after="283"/>
              <w:jc w:val="right"/>
              <w:rPr>
                <w:b/>
              </w:rPr>
            </w:pPr>
            <w:r>
              <w:rPr>
                <w:b/>
              </w:rPr>
              <w:t>3,068,046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center"/>
              <w:rPr/>
            </w:pPr>
            <w:r>
              <w:rPr/>
              <w:t> </w:t>
            </w:r>
          </w:p>
        </w:tc>
      </w:tr>
      <w:tr>
        <w:trPr/>
        <w:tc>
          <w:tcPr>
            <w:tcW w:w="3440" w:type="dxa"/>
            <w:tcBorders/>
            <w:shd w:fill="CCEEFF" w:val="clear"/>
            <w:vAlign w:val="center"/>
          </w:tcPr>
          <w:p>
            <w:pPr>
              <w:pStyle w:val="TableContents"/>
              <w:bidi w:val="0"/>
              <w:spacing w:before="0" w:after="283"/>
              <w:jc w:val="left"/>
              <w:rPr>
                <w:b/>
              </w:rPr>
            </w:pPr>
            <w:r>
              <w:rPr>
                <w:b/>
              </w:rPr>
              <w:t>Less: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7" w:name="xdx_98F_eus-gaap--LoansPayableCurrent_iI"/>
            <w:bookmarkEnd w:id="897"/>
          </w:p>
        </w:tc>
        <w:tc>
          <w:tcPr>
            <w:tcW w:w="134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3,068,046</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0" w:type="dxa"/>
            <w:tcBorders/>
            <w:shd w:fill="CCEEFF" w:val="clear"/>
            <w:vAlign w:val="center"/>
          </w:tcPr>
          <w:p>
            <w:pPr>
              <w:pStyle w:val="TableContents"/>
              <w:bidi w:val="0"/>
              <w:spacing w:before="0" w:after="283"/>
              <w:jc w:val="center"/>
              <w:rPr/>
            </w:pPr>
            <w:r>
              <w:rPr/>
              <w:t> </w:t>
            </w:r>
          </w:p>
        </w:tc>
      </w:tr>
      <w:tr>
        <w:trPr/>
        <w:tc>
          <w:tcPr>
            <w:tcW w:w="3440" w:type="dxa"/>
            <w:tcBorders/>
            <w:shd w:fill="FFFFFF" w:val="clear"/>
            <w:vAlign w:val="center"/>
          </w:tcPr>
          <w:p>
            <w:pPr>
              <w:pStyle w:val="TableContents"/>
              <w:bidi w:val="0"/>
              <w:spacing w:before="0" w:after="283"/>
              <w:jc w:val="left"/>
              <w:rPr>
                <w:b/>
              </w:rPr>
            </w:pPr>
            <w:r>
              <w:rPr>
                <w:b/>
              </w:rPr>
              <w:t>Long-term loans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bookmarkStart w:id="898" w:name="xdx_983_eus-gaap--LongTermLoansPayable_i"/>
            <w:bookmarkEnd w:id="898"/>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899" w:name="xdx_F0E_zyJ9CJmdGBNg"/>
            <w:bookmarkEnd w:id="899"/>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0" w:name="xdx_F18_z1DvulORm5vc"/>
            <w:bookmarkEnd w:id="900"/>
            <w:r>
              <w:rPr>
                <w:rFonts w:ascii="Times New Roman;Times;Serif" w:hAnsi="Times New Roman;Times;Serif"/>
                <w:b w:val="false"/>
                <w:i w:val="false"/>
                <w:caps w:val="false"/>
                <w:smallCaps w:val="false"/>
                <w:sz w:val="20"/>
              </w:rPr>
              <w:t xml:space="preserve">On March 16, 2026, the Company obtained a loan of RMB </w:t>
            </w:r>
            <w:bookmarkStart w:id="901" w:name="xdx_907_eus-gaap--LongTermDebt_iI_pn6n6_"/>
            <w:bookmarkEnd w:id="901"/>
            <w:r>
              <w:rPr>
                <w:rFonts w:ascii="Times New Roman;Times;Serif" w:hAnsi="Times New Roman;Times;Serif"/>
                <w:b w:val="false"/>
                <w:i w:val="false"/>
                <w:caps w:val="false"/>
                <w:smallCaps w:val="false"/>
                <w:sz w:val="20"/>
              </w:rPr>
              <w:t>10 million ($</w:t>
            </w:r>
            <w:bookmarkStart w:id="902" w:name="xdx_90E_eus-gaap--LongTermDebt_iI_c20260"/>
            <w:bookmarkEnd w:id="902"/>
            <w:r>
              <w:rPr>
                <w:rFonts w:ascii="Times New Roman;Times;Serif" w:hAnsi="Times New Roman;Times;Serif"/>
                <w:b w:val="false"/>
                <w:i w:val="false"/>
                <w:caps w:val="false"/>
                <w:smallCaps w:val="false"/>
                <w:sz w:val="20"/>
              </w:rPr>
              <w:t>1,445,212) from Industrial and Commercial Bank of China Beijing Yayuncun Sub-branch, which is due March 15,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3" w:name="xdx_F06_zs1qNXhe1N3i"/>
            <w:bookmarkEnd w:id="903"/>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4" w:name="xdx_F15_zXVQ7KO4T1yj"/>
            <w:bookmarkEnd w:id="904"/>
            <w:r>
              <w:rPr>
                <w:rFonts w:ascii="Times New Roman;Times;Serif" w:hAnsi="Times New Roman;Times;Serif"/>
                <w:b w:val="false"/>
                <w:i w:val="false"/>
                <w:caps w:val="false"/>
                <w:smallCaps w:val="false"/>
                <w:sz w:val="20"/>
              </w:rPr>
              <w:t xml:space="preserve">On March 25, 2026, the Company obtained a loan of RMB </w:t>
            </w:r>
            <w:bookmarkStart w:id="905" w:name="xdx_909_eus-gaap--LongTermDebt_iI_pn6n6_"/>
            <w:bookmarkEnd w:id="905"/>
            <w:r>
              <w:rPr>
                <w:rFonts w:ascii="Times New Roman;Times;Serif" w:hAnsi="Times New Roman;Times;Serif"/>
                <w:b w:val="false"/>
                <w:i w:val="false"/>
                <w:caps w:val="false"/>
                <w:smallCaps w:val="false"/>
                <w:sz w:val="20"/>
              </w:rPr>
              <w:t>10 million ($</w:t>
            </w:r>
            <w:bookmarkStart w:id="906" w:name="xdx_90A_eus-gaap--LongTermDebt_iI_c20260"/>
            <w:bookmarkEnd w:id="906"/>
            <w:r>
              <w:rPr>
                <w:rFonts w:ascii="Times New Roman;Times;Serif" w:hAnsi="Times New Roman;Times;Serif"/>
                <w:b w:val="false"/>
                <w:i w:val="false"/>
                <w:caps w:val="false"/>
                <w:smallCaps w:val="false"/>
                <w:sz w:val="20"/>
              </w:rPr>
              <w:t>1,445,212) from Industrial and Commercial Bank of China Beijing Yayuncun Sub-branch, which is due March 19,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7" w:name="xdx_F05_z4SjSua0pHM3"/>
            <w:bookmarkEnd w:id="907"/>
            <w:r>
              <w:rPr>
                <w:rFonts w:ascii="Times New Roman;Times;Serif" w:hAnsi="Times New Roman;Times;Serif"/>
                <w:b w:val="false"/>
                <w:i w:val="false"/>
                <w:caps w:val="false"/>
                <w:smallCaps w:val="false"/>
                <w:sz w:val="20"/>
              </w:rPr>
              <w:t>(3)</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8" w:name="xdx_F1C_zQnBqgjN5jxi"/>
            <w:bookmarkEnd w:id="908"/>
            <w:r>
              <w:rPr>
                <w:rFonts w:ascii="Times New Roman;Times;Serif" w:hAnsi="Times New Roman;Times;Serif"/>
                <w:b w:val="false"/>
                <w:i w:val="false"/>
                <w:caps w:val="false"/>
                <w:smallCaps w:val="false"/>
                <w:sz w:val="20"/>
              </w:rPr>
              <w:t xml:space="preserve">On November 21, 2023, the Company obtained a loan of RMB </w:t>
            </w:r>
            <w:bookmarkStart w:id="909" w:name="xdx_90A_eus-gaap--LongTermDebt_iI_pn6n6_"/>
            <w:bookmarkEnd w:id="909"/>
            <w:r>
              <w:rPr>
                <w:rFonts w:ascii="Times New Roman;Times;Serif" w:hAnsi="Times New Roman;Times;Serif"/>
                <w:b w:val="false"/>
                <w:i w:val="false"/>
                <w:caps w:val="false"/>
                <w:smallCaps w:val="false"/>
                <w:sz w:val="20"/>
              </w:rPr>
              <w:t>2 million ($</w:t>
            </w:r>
            <w:bookmarkStart w:id="910" w:name="xdx_904_eus-gaap--LongTermDebt_iI_c20231"/>
            <w:bookmarkEnd w:id="910"/>
            <w:r>
              <w:rPr>
                <w:rFonts w:ascii="Times New Roman;Times;Serif" w:hAnsi="Times New Roman;Times;Serif"/>
                <w:b w:val="false"/>
                <w:i w:val="false"/>
                <w:caps w:val="false"/>
                <w:smallCaps w:val="false"/>
                <w:sz w:val="20"/>
              </w:rPr>
              <w:t xml:space="preserve">281,472) from Bank of China Chengdu Hi-Tech Industrial Development Zone Sub-branch, which was due November 20, 2024. The loan was guaranteed by Li Hongliang, chief executive officer of the Company. The Company repaid RMB </w:t>
            </w:r>
            <w:bookmarkStart w:id="911" w:name="xdx_906_eus-gaap--RepaymentsOfDebt_uRMB_"/>
            <w:bookmarkEnd w:id="911"/>
            <w:r>
              <w:rPr>
                <w:rFonts w:ascii="Times New Roman;Times;Serif" w:hAnsi="Times New Roman;Times;Serif"/>
                <w:b w:val="false"/>
                <w:i w:val="false"/>
                <w:caps w:val="false"/>
                <w:smallCaps w:val="false"/>
                <w:sz w:val="20"/>
              </w:rPr>
              <w:t>100,000 ($</w:t>
            </w:r>
            <w:bookmarkStart w:id="912" w:name="xdx_905_eus-gaap--RepaymentsOfDebt_c2024"/>
            <w:bookmarkEnd w:id="912"/>
            <w:r>
              <w:rPr>
                <w:rFonts w:ascii="Times New Roman;Times;Serif" w:hAnsi="Times New Roman;Times;Serif"/>
                <w:b w:val="false"/>
                <w:i w:val="false"/>
                <w:caps w:val="false"/>
                <w:smallCaps w:val="false"/>
                <w:sz w:val="20"/>
              </w:rPr>
              <w:t xml:space="preserve">14,074) in October, 2024, refinanced RMB </w:t>
            </w:r>
            <w:bookmarkStart w:id="913" w:name="xdx_90A_eus-gaap--RepaymentsOfDebt_uRMB_"/>
            <w:bookmarkEnd w:id="913"/>
            <w:r>
              <w:rPr>
                <w:rFonts w:ascii="Times New Roman;Times;Serif" w:hAnsi="Times New Roman;Times;Serif"/>
                <w:b w:val="false"/>
                <w:i w:val="false"/>
                <w:caps w:val="false"/>
                <w:smallCaps w:val="false"/>
                <w:sz w:val="20"/>
              </w:rPr>
              <w:t>1,900,000 ($</w:t>
            </w:r>
            <w:bookmarkStart w:id="914" w:name="xdx_90E_eus-gaap--RepaymentsOfDebt_c2025"/>
            <w:bookmarkEnd w:id="914"/>
            <w:r>
              <w:rPr>
                <w:rFonts w:ascii="Times New Roman;Times;Serif" w:hAnsi="Times New Roman;Times;Serif"/>
                <w:b w:val="false"/>
                <w:i w:val="false"/>
                <w:caps w:val="false"/>
                <w:smallCaps w:val="false"/>
                <w:sz w:val="20"/>
              </w:rPr>
              <w:t xml:space="preserve">267,398) and extended the due date to October 15, 2025. The Company repaid RMB </w:t>
            </w:r>
            <w:bookmarkStart w:id="915" w:name="xdx_90D_eus-gaap--RepaymentsOfDebt_uRMB_"/>
            <w:bookmarkEnd w:id="915"/>
            <w:r>
              <w:rPr>
                <w:rFonts w:ascii="Times New Roman;Times;Serif" w:hAnsi="Times New Roman;Times;Serif"/>
                <w:b w:val="false"/>
                <w:i w:val="false"/>
                <w:caps w:val="false"/>
                <w:smallCaps w:val="false"/>
                <w:sz w:val="20"/>
              </w:rPr>
              <w:t>100,000 ($</w:t>
            </w:r>
            <w:bookmarkStart w:id="916" w:name="xdx_906_eus-gaap--RepaymentsOfDebt_c2025"/>
            <w:bookmarkEnd w:id="916"/>
            <w:r>
              <w:rPr>
                <w:rFonts w:ascii="Times New Roman;Times;Serif" w:hAnsi="Times New Roman;Times;Serif"/>
                <w:b w:val="false"/>
                <w:i w:val="false"/>
                <w:caps w:val="false"/>
                <w:smallCaps w:val="false"/>
                <w:sz w:val="20"/>
              </w:rPr>
              <w:t xml:space="preserve">14,074) and RMB </w:t>
            </w:r>
            <w:bookmarkStart w:id="917" w:name="xdx_901_eus-gaap--RepaymentsOfDebt_uRMB_"/>
            <w:bookmarkEnd w:id="917"/>
            <w:r>
              <w:rPr>
                <w:rFonts w:ascii="Times New Roman;Times;Serif" w:hAnsi="Times New Roman;Times;Serif"/>
                <w:b w:val="false"/>
                <w:i w:val="false"/>
                <w:caps w:val="false"/>
                <w:smallCaps w:val="false"/>
                <w:sz w:val="20"/>
              </w:rPr>
              <w:t>1,800,000 ($</w:t>
            </w:r>
            <w:bookmarkStart w:id="918" w:name="xdx_902_eus-gaap--RepaymentsOfDebt_c2025"/>
            <w:bookmarkEnd w:id="918"/>
            <w:r>
              <w:rPr>
                <w:rFonts w:ascii="Times New Roman;Times;Serif" w:hAnsi="Times New Roman;Times;Serif"/>
                <w:b w:val="false"/>
                <w:i w:val="false"/>
                <w:caps w:val="false"/>
                <w:smallCaps w:val="false"/>
                <w:sz w:val="20"/>
              </w:rPr>
              <w:t>253,326) on September 16, 2025 and October 16, 2025,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19" w:name="xdx_F06_z1EjB9YKpP47"/>
            <w:bookmarkEnd w:id="919"/>
            <w:r>
              <w:rPr>
                <w:rFonts w:ascii="Times New Roman;Times;Serif" w:hAnsi="Times New Roman;Times;Serif"/>
                <w:b w:val="false"/>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0" w:name="xdx_F15_z2IPx75WmAwg"/>
            <w:bookmarkEnd w:id="920"/>
            <w:r>
              <w:rPr>
                <w:rFonts w:ascii="Times New Roman;Times;Serif" w:hAnsi="Times New Roman;Times;Serif"/>
                <w:b w:val="false"/>
                <w:i w:val="false"/>
                <w:caps w:val="false"/>
                <w:smallCaps w:val="false"/>
                <w:sz w:val="20"/>
              </w:rPr>
              <w:t xml:space="preserve">On March 18, 2025, the Company obtained a loan of RMB </w:t>
            </w:r>
            <w:bookmarkStart w:id="921" w:name="xdx_90D_eus-gaap--LongTermDebt_iI_pn6n6_"/>
            <w:bookmarkEnd w:id="921"/>
            <w:r>
              <w:rPr>
                <w:rFonts w:ascii="Times New Roman;Times;Serif" w:hAnsi="Times New Roman;Times;Serif"/>
                <w:b w:val="false"/>
                <w:i w:val="false"/>
                <w:caps w:val="false"/>
                <w:smallCaps w:val="false"/>
                <w:sz w:val="20"/>
              </w:rPr>
              <w:t>10 million ($</w:t>
            </w:r>
            <w:bookmarkStart w:id="922" w:name="xdx_90C_eus-gaap--LongTermDebt_iI_c20250"/>
            <w:bookmarkEnd w:id="922"/>
            <w:r>
              <w:rPr>
                <w:rFonts w:ascii="Times New Roman;Times;Serif" w:hAnsi="Times New Roman;Times;Serif"/>
                <w:b w:val="false"/>
                <w:i w:val="false"/>
                <w:caps w:val="false"/>
                <w:smallCaps w:val="false"/>
                <w:sz w:val="20"/>
              </w:rPr>
              <w:t>1,407,360) from Industrial and Commercial Bank of China Beijing Yayuncun Sub-branch, which was due March 17,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3" w:name="xdx_F0C_zOxD2wFlgkRc"/>
            <w:bookmarkEnd w:id="923"/>
            <w:r>
              <w:rPr>
                <w:rFonts w:ascii="Times New Roman;Times;Serif" w:hAnsi="Times New Roman;Times;Serif"/>
                <w:b w:val="false"/>
                <w:i w:val="false"/>
                <w:caps w:val="false"/>
                <w:smallCaps w:val="false"/>
                <w:sz w:val="20"/>
              </w:rPr>
              <w:t>(5)</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24" w:name="xdx_F12_zYkokBjJB95b"/>
            <w:bookmarkEnd w:id="924"/>
            <w:r>
              <w:rPr>
                <w:rFonts w:ascii="Times New Roman;Times;Serif" w:hAnsi="Times New Roman;Times;Serif"/>
                <w:b w:val="false"/>
                <w:i w:val="false"/>
                <w:caps w:val="false"/>
                <w:smallCaps w:val="false"/>
                <w:sz w:val="20"/>
              </w:rPr>
              <w:t xml:space="preserve">On March 25, 2025, the Company obtained a loan of RMB </w:t>
            </w:r>
            <w:bookmarkStart w:id="925" w:name="xdx_909_eus-gaap--LongTermDebt_iI_pn6n6_"/>
            <w:bookmarkEnd w:id="925"/>
            <w:r>
              <w:rPr>
                <w:rFonts w:ascii="Times New Roman;Times;Serif" w:hAnsi="Times New Roman;Times;Serif"/>
                <w:b w:val="false"/>
                <w:i w:val="false"/>
                <w:caps w:val="false"/>
                <w:smallCaps w:val="false"/>
                <w:sz w:val="20"/>
              </w:rPr>
              <w:t>10 million ($</w:t>
            </w:r>
            <w:bookmarkStart w:id="926" w:name="xdx_903_eus-gaap--LongTermDebt_iI_c20250"/>
            <w:bookmarkEnd w:id="926"/>
            <w:r>
              <w:rPr>
                <w:rFonts w:ascii="Times New Roman;Times;Serif" w:hAnsi="Times New Roman;Times;Serif"/>
                <w:b w:val="false"/>
                <w:i w:val="false"/>
                <w:caps w:val="false"/>
                <w:smallCaps w:val="false"/>
                <w:sz w:val="20"/>
              </w:rPr>
              <w:t>1,407,360) from Industrial and Commercial Bank of China Beijing Yayuncun Sub-branch, which was due March 24, 2026.</w:t>
            </w:r>
          </w:p>
        </w:tc>
      </w:tr>
    </w:tbl>
    <w:p>
      <w:pPr>
        <w:pStyle w:val="TextBody"/>
        <w:bidi w:val="0"/>
        <w:spacing w:before="0" w:after="0"/>
        <w:ind w:left="0" w:right="0" w:hanging="0"/>
        <w:jc w:val="both"/>
        <w:rPr>
          <w:caps w:val="false"/>
          <w:smallCaps w:val="false"/>
        </w:rPr>
      </w:pPr>
      <w:bookmarkStart w:id="927" w:name="xdx_8A0_zD4CvTJrhcXk"/>
      <w:bookmarkEnd w:id="92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28" w:name="xdx_804_eus-gaap--AccountsPayableAccrued"/>
      <w:bookmarkEnd w:id="928"/>
      <w:r>
        <w:rPr>
          <w:rFonts w:ascii="Times New Roman;Times;Serif" w:hAnsi="Times New Roman;Times;Serif"/>
          <w:b/>
          <w:i w:val="false"/>
          <w:caps w:val="false"/>
          <w:smallCaps w:val="false"/>
          <w:sz w:val="20"/>
        </w:rPr>
        <w:t xml:space="preserve">NOTE 14 – </w:t>
      </w:r>
      <w:bookmarkStart w:id="929" w:name="xdx_82B_zPbH6Og8yvoi"/>
      <w:bookmarkEnd w:id="929"/>
      <w:r>
        <w:rPr>
          <w:rFonts w:ascii="Times New Roman;Times;Serif" w:hAnsi="Times New Roman;Times;Serif"/>
          <w:b/>
          <w:i w:val="false"/>
          <w:caps w:val="false"/>
          <w:smallCaps w:val="false"/>
          <w:sz w:val="20"/>
        </w:rPr>
        <w:t>OTHER PAYABLES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30" w:name="xdx_890_eus-gaap--ScheduleOfAccountsPaya"/>
      <w:bookmarkEnd w:id="930"/>
      <w:r>
        <w:rPr>
          <w:rFonts w:ascii="Times New Roman;Times;Serif" w:hAnsi="Times New Roman;Times;Serif"/>
          <w:b w:val="false"/>
          <w:i w:val="false"/>
          <w:caps w:val="false"/>
          <w:smallCaps w:val="false"/>
          <w:sz w:val="20"/>
        </w:rPr>
        <w:t>Other payables and other current liabilities consisted of the following:</w:t>
      </w:r>
    </w:p>
    <w:p>
      <w:pPr>
        <w:pStyle w:val="TextBody"/>
        <w:bidi w:val="0"/>
        <w:spacing w:before="0" w:after="0"/>
        <w:ind w:left="0" w:right="0" w:hanging="0"/>
        <w:jc w:val="left"/>
        <w:rPr>
          <w:caps w:val="false"/>
          <w:smallCaps w:val="false"/>
        </w:rPr>
      </w:pPr>
      <w:r>
        <w:rPr>
          <w:caps w:val="false"/>
          <w:smallCaps w:val="false"/>
        </w:rPr>
        <w:t>  </w:t>
      </w:r>
      <w:bookmarkStart w:id="931" w:name="xdx_8B2_zOHEcaRO2LVb"/>
      <w:bookmarkEnd w:id="931"/>
      <w:r>
        <w:rPr>
          <w:rFonts w:ascii="Times New Roman;Times;Serif" w:hAnsi="Times New Roman;Times;Serif"/>
          <w:b w:val="false"/>
          <w:i w:val="false"/>
          <w:caps w:val="false"/>
          <w:smallCaps w:val="false"/>
          <w:sz w:val="20"/>
        </w:rPr>
        <w:t>SCHEDULE OF OTHER PAYABLES AND OTHER CURRENT LIABILITIES </w:t>
      </w:r>
    </w:p>
    <w:tbl>
      <w:tblPr>
        <w:tblW w:w="7123" w:type="dxa"/>
        <w:jc w:val="left"/>
        <w:tblInd w:w="0" w:type="dxa"/>
        <w:tblLayout w:type="fixed"/>
        <w:tblCellMar>
          <w:top w:w="0" w:type="dxa"/>
          <w:left w:w="0" w:type="dxa"/>
          <w:bottom w:w="0" w:type="dxa"/>
          <w:right w:w="0" w:type="dxa"/>
        </w:tblCellMar>
      </w:tblPr>
      <w:tblGrid>
        <w:gridCol w:w="4400"/>
        <w:gridCol w:w="60"/>
        <w:gridCol w:w="155"/>
        <w:gridCol w:w="1094"/>
        <w:gridCol w:w="60"/>
        <w:gridCol w:w="60"/>
        <w:gridCol w:w="152"/>
        <w:gridCol w:w="1067"/>
        <w:gridCol w:w="75"/>
      </w:tblGrid>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2" w:name="xdx_49B_20260331_zk5TdBz28iBl"/>
            <w:bookmarkEnd w:id="932"/>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33" w:name="xdx_49F_20250930_zKGP9ODyIC4j"/>
            <w:bookmarkEnd w:id="933"/>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934" w:name="xdx_402_eus-gaap--EmployeeRelatedLiabili"/>
            <w:bookmarkEnd w:id="934"/>
          </w:p>
        </w:tc>
      </w:tr>
      <w:tr>
        <w:trPr/>
        <w:tc>
          <w:tcPr>
            <w:tcW w:w="4400" w:type="dxa"/>
            <w:tcBorders/>
            <w:shd w:fill="CCEEFF" w:val="clear"/>
            <w:vAlign w:val="center"/>
          </w:tcPr>
          <w:p>
            <w:pPr>
              <w:pStyle w:val="TableContents"/>
              <w:bidi w:val="0"/>
              <w:spacing w:before="0" w:after="283"/>
              <w:jc w:val="left"/>
              <w:rPr/>
            </w:pPr>
            <w:r>
              <w:rPr/>
              <w:t>Payroll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1,260,439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1,212,196</w:t>
            </w:r>
          </w:p>
        </w:tc>
        <w:tc>
          <w:tcPr>
            <w:tcW w:w="75" w:type="dxa"/>
            <w:tcBorders/>
            <w:shd w:fill="CCEEFF" w:val="clear"/>
            <w:vAlign w:val="center"/>
          </w:tcPr>
          <w:p>
            <w:pPr>
              <w:pStyle w:val="TableContents"/>
              <w:bidi w:val="0"/>
              <w:spacing w:before="0" w:after="283"/>
              <w:jc w:val="left"/>
              <w:rPr/>
            </w:pPr>
            <w:r>
              <w:rPr/>
              <w:t> </w:t>
            </w:r>
            <w:bookmarkStart w:id="935" w:name="xdx_400_eus-gaap--DepositLiabilityCurren"/>
            <w:bookmarkEnd w:id="935"/>
          </w:p>
        </w:tc>
      </w:tr>
      <w:tr>
        <w:trPr/>
        <w:tc>
          <w:tcPr>
            <w:tcW w:w="4400"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8,262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981</w:t>
            </w:r>
          </w:p>
        </w:tc>
        <w:tc>
          <w:tcPr>
            <w:tcW w:w="75" w:type="dxa"/>
            <w:tcBorders/>
            <w:shd w:fill="FFFFFF" w:val="clear"/>
            <w:vAlign w:val="center"/>
          </w:tcPr>
          <w:p>
            <w:pPr>
              <w:pStyle w:val="TableContents"/>
              <w:bidi w:val="0"/>
              <w:spacing w:before="0" w:after="283"/>
              <w:jc w:val="left"/>
              <w:rPr/>
            </w:pPr>
            <w:r>
              <w:rPr/>
              <w:t> </w:t>
            </w:r>
            <w:bookmarkStart w:id="936" w:name="xdx_40E_eus-gaap--AccruedLiabilitiesAndO"/>
            <w:bookmarkEnd w:id="936"/>
          </w:p>
        </w:tc>
      </w:tr>
      <w:tr>
        <w:trPr/>
        <w:tc>
          <w:tcPr>
            <w:tcW w:w="440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472,107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534,030</w:t>
            </w:r>
          </w:p>
        </w:tc>
        <w:tc>
          <w:tcPr>
            <w:tcW w:w="75" w:type="dxa"/>
            <w:tcBorders/>
            <w:shd w:fill="CCEEFF" w:val="clear"/>
            <w:vAlign w:val="center"/>
          </w:tcPr>
          <w:p>
            <w:pPr>
              <w:pStyle w:val="TableContents"/>
              <w:bidi w:val="0"/>
              <w:spacing w:before="0" w:after="283"/>
              <w:jc w:val="left"/>
              <w:rPr/>
            </w:pPr>
            <w:r>
              <w:rPr/>
              <w:t> </w:t>
            </w:r>
            <w:bookmarkStart w:id="937" w:name="xdx_40C_eus-gaap--AccountsPayableAndOthe"/>
            <w:bookmarkEnd w:id="937"/>
          </w:p>
        </w:tc>
      </w:tr>
      <w:tr>
        <w:trPr/>
        <w:tc>
          <w:tcPr>
            <w:tcW w:w="4400" w:type="dxa"/>
            <w:tcBorders/>
            <w:shd w:fill="FFFFFF" w:val="clear"/>
            <w:vAlign w:val="center"/>
          </w:tcPr>
          <w:p>
            <w:pPr>
              <w:pStyle w:val="TableContents"/>
              <w:bidi w:val="0"/>
              <w:spacing w:before="0" w:after="283"/>
              <w:jc w:val="left"/>
              <w:rPr>
                <w:b/>
              </w:rPr>
            </w:pPr>
            <w:r>
              <w:rPr>
                <w:b/>
              </w:rPr>
              <w:t>Other payables and other current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1,740,808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1,747,207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38" w:name="xdx_8A9_zoen1u9Ac2vk"/>
      <w:bookmarkEnd w:id="93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 is for employee business expense reimbursement and freight.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9" w:name="xdx_807_eus-gaap--LesseeOperatingLeasesT"/>
      <w:bookmarkEnd w:id="939"/>
      <w:r>
        <w:rPr>
          <w:rFonts w:ascii="Times New Roman;Times;Serif" w:hAnsi="Times New Roman;Times;Serif"/>
          <w:b/>
          <w:i w:val="false"/>
          <w:caps w:val="false"/>
          <w:smallCaps w:val="false"/>
          <w:sz w:val="20"/>
        </w:rPr>
        <w:t xml:space="preserve">NOTE 15– </w:t>
      </w:r>
      <w:bookmarkStart w:id="940" w:name="xdx_829_z5ey3ZgSCYP6"/>
      <w:bookmarkEnd w:id="940"/>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1" w:name="xdx_904_eus-gaap--LesseeOperatingLeaseDe"/>
      <w:bookmarkEnd w:id="941"/>
      <w:r>
        <w:rPr>
          <w:rFonts w:ascii="Times New Roman;Times;Serif" w:hAnsi="Times New Roman;Times;Serif"/>
          <w:b w:val="false"/>
          <w:i w:val="false"/>
          <w:caps w:val="false"/>
          <w:smallCaps w:val="false"/>
          <w:sz w:val="20"/>
        </w:rPr>
        <w:t>The Company leases office spaces and factories under non-cancellable operating leases, with terms from 24 to 120 months. The Company considers those renewal or termination options that are reasonably certain to be exercised in the determination of the lease term and initial measurement of right of use assets and lease liabilities. Lease expense for lease payment is recognized on a straight-line basis over the lease term. Leases with initial term of 12 months or less are not recorded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do not contain any material residual value guarantees or material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2" w:name="xdx_89D_ecustom--ScheduleOfBalanceSheetI"/>
      <w:bookmarkEnd w:id="942"/>
      <w:r>
        <w:rPr>
          <w:rFonts w:ascii="Times New Roman;Times;Serif" w:hAnsi="Times New Roman;Times;Serif"/>
          <w:b w:val="false"/>
          <w:i w:val="false"/>
          <w:caps w:val="false"/>
          <w:smallCaps w:val="false"/>
          <w:sz w:val="20"/>
        </w:rPr>
        <w:t>The table below presents the operating lease related assets and liabilities recorded on the balance sheets:</w:t>
      </w:r>
    </w:p>
    <w:p>
      <w:pPr>
        <w:pStyle w:val="TextBody"/>
        <w:bidi w:val="0"/>
        <w:spacing w:before="0" w:after="0"/>
        <w:ind w:left="0" w:right="0" w:hanging="0"/>
        <w:jc w:val="both"/>
        <w:rPr>
          <w:caps w:val="false"/>
          <w:smallCaps w:val="false"/>
        </w:rPr>
      </w:pPr>
      <w:r>
        <w:rPr>
          <w:caps w:val="false"/>
          <w:smallCaps w:val="false"/>
        </w:rPr>
        <w:t>  </w:t>
      </w:r>
      <w:bookmarkStart w:id="943" w:name="xdx_8BD_zo7Y6yzzOKu7"/>
      <w:bookmarkEnd w:id="943"/>
      <w:r>
        <w:rPr>
          <w:rFonts w:ascii="Times New Roman;Times;Serif" w:hAnsi="Times New Roman;Times;Serif"/>
          <w:b w:val="false"/>
          <w:i w:val="false"/>
          <w:caps w:val="false"/>
          <w:smallCaps w:val="false"/>
          <w:sz w:val="20"/>
        </w:rPr>
        <w:t>SCHEDULE OF OPERATING LEASE RELATED ASSETS AND LIABILITIES </w:t>
      </w:r>
    </w:p>
    <w:tbl>
      <w:tblPr>
        <w:tblW w:w="6418" w:type="dxa"/>
        <w:jc w:val="left"/>
        <w:tblInd w:w="0" w:type="dxa"/>
        <w:tblLayout w:type="fixed"/>
        <w:tblCellMar>
          <w:top w:w="0" w:type="dxa"/>
          <w:left w:w="0" w:type="dxa"/>
          <w:bottom w:w="0" w:type="dxa"/>
          <w:right w:w="0" w:type="dxa"/>
        </w:tblCellMar>
      </w:tblPr>
      <w:tblGrid>
        <w:gridCol w:w="3695"/>
        <w:gridCol w:w="60"/>
        <w:gridCol w:w="186"/>
        <w:gridCol w:w="1063"/>
        <w:gridCol w:w="60"/>
        <w:gridCol w:w="60"/>
        <w:gridCol w:w="181"/>
        <w:gridCol w:w="1038"/>
        <w:gridCol w:w="75"/>
      </w:tblGrid>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44" w:name="xdx_49B_20260331_zRgOnX5RUqU8"/>
            <w:bookmarkEnd w:id="944"/>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5" w:name="xdx_49F_20250930_zc5ESOjiplc9"/>
            <w:bookmarkEnd w:id="945"/>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946" w:name="xdx_40F_eus-gaap--OperatingLeaseRightOfU"/>
            <w:bookmarkEnd w:id="946"/>
          </w:p>
        </w:tc>
      </w:tr>
      <w:tr>
        <w:trPr/>
        <w:tc>
          <w:tcPr>
            <w:tcW w:w="3695" w:type="dxa"/>
            <w:tcBorders/>
            <w:shd w:fill="CCEEFF" w:val="clear"/>
            <w:vAlign w:val="center"/>
          </w:tcPr>
          <w:p>
            <w:pPr>
              <w:pStyle w:val="TableContents"/>
              <w:bidi w:val="0"/>
              <w:spacing w:before="0" w:after="283"/>
              <w:jc w:val="left"/>
              <w:rPr>
                <w:b/>
              </w:rPr>
            </w:pPr>
            <w:r>
              <w:rPr>
                <w:b/>
              </w:rPr>
              <w:t>Operating lease ROU assets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pPr>
            <w:r>
              <w:rPr/>
              <w:t>686,373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pPr>
            <w:r>
              <w:rPr/>
              <w:t>708,944</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47" w:name="xdx_406_eus-gaap--OperatingLeaseLiabilit"/>
            <w:bookmarkEnd w:id="947"/>
          </w:p>
        </w:tc>
      </w:tr>
      <w:tr>
        <w:trPr/>
        <w:tc>
          <w:tcPr>
            <w:tcW w:w="3695" w:type="dxa"/>
            <w:tcBorders/>
            <w:shd w:fill="CCEEFF" w:val="clear"/>
            <w:vAlign w:val="center"/>
          </w:tcPr>
          <w:p>
            <w:pPr>
              <w:pStyle w:val="TableContents"/>
              <w:bidi w:val="0"/>
              <w:spacing w:before="0" w:after="283"/>
              <w:jc w:val="left"/>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101,369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1038" w:type="dxa"/>
            <w:tcBorders/>
            <w:shd w:fill="CCEEFF" w:val="clear"/>
            <w:vAlign w:val="center"/>
          </w:tcPr>
          <w:p>
            <w:pPr>
              <w:pStyle w:val="TableContents"/>
              <w:bidi w:val="0"/>
              <w:spacing w:before="0" w:after="283"/>
              <w:jc w:val="right"/>
              <w:rPr/>
            </w:pPr>
            <w:r>
              <w:rPr/>
              <w:t>82,653</w:t>
            </w:r>
          </w:p>
        </w:tc>
        <w:tc>
          <w:tcPr>
            <w:tcW w:w="75" w:type="dxa"/>
            <w:tcBorders/>
            <w:shd w:fill="CCEEFF" w:val="clear"/>
            <w:vAlign w:val="center"/>
          </w:tcPr>
          <w:p>
            <w:pPr>
              <w:pStyle w:val="TableContents"/>
              <w:bidi w:val="0"/>
              <w:spacing w:before="0" w:after="283"/>
              <w:jc w:val="left"/>
              <w:rPr/>
            </w:pPr>
            <w:r>
              <w:rPr/>
              <w:t> </w:t>
            </w:r>
            <w:bookmarkStart w:id="948" w:name="xdx_400_eus-gaap--OperatingLeaseLiabilit"/>
            <w:bookmarkEnd w:id="948"/>
          </w:p>
        </w:tc>
      </w:tr>
      <w:tr>
        <w:trPr/>
        <w:tc>
          <w:tcPr>
            <w:tcW w:w="3695" w:type="dxa"/>
            <w:tcBorders/>
            <w:shd w:fill="FFFFFF" w:val="clear"/>
            <w:vAlign w:val="center"/>
          </w:tcPr>
          <w:p>
            <w:pPr>
              <w:pStyle w:val="TableContents"/>
              <w:bidi w:val="0"/>
              <w:spacing w:before="0" w:after="283"/>
              <w:jc w:val="left"/>
              <w:rPr/>
            </w:pPr>
            <w:r>
              <w:rPr/>
              <w:t>Operating lease liabilities - non-current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3" w:type="dxa"/>
            <w:tcBorders>
              <w:bottom w:val="single" w:sz="8" w:space="0" w:color="000000"/>
            </w:tcBorders>
            <w:shd w:fill="FFFFFF" w:val="clear"/>
            <w:tcMar>
              <w:bottom w:w="28" w:type="dxa"/>
            </w:tcMar>
            <w:vAlign w:val="center"/>
          </w:tcPr>
          <w:p>
            <w:pPr>
              <w:pStyle w:val="TableContents"/>
              <w:bidi w:val="0"/>
              <w:spacing w:before="0" w:after="283"/>
              <w:jc w:val="right"/>
              <w:rPr/>
            </w:pPr>
            <w:r>
              <w:rPr/>
              <w:t>585,004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8" w:type="dxa"/>
            <w:tcBorders>
              <w:bottom w:val="single" w:sz="8" w:space="0" w:color="000000"/>
            </w:tcBorders>
            <w:shd w:fill="FFFFFF" w:val="clear"/>
            <w:tcMar>
              <w:bottom w:w="28" w:type="dxa"/>
            </w:tcMar>
            <w:vAlign w:val="center"/>
          </w:tcPr>
          <w:p>
            <w:pPr>
              <w:pStyle w:val="TableContents"/>
              <w:bidi w:val="0"/>
              <w:spacing w:before="0" w:after="283"/>
              <w:jc w:val="right"/>
              <w:rPr/>
            </w:pPr>
            <w:r>
              <w:rPr/>
              <w:t>626,291</w:t>
            </w:r>
          </w:p>
        </w:tc>
        <w:tc>
          <w:tcPr>
            <w:tcW w:w="75" w:type="dxa"/>
            <w:tcBorders/>
            <w:shd w:fill="FFFFFF" w:val="clear"/>
            <w:vAlign w:val="center"/>
          </w:tcPr>
          <w:p>
            <w:pPr>
              <w:pStyle w:val="TableContents"/>
              <w:bidi w:val="0"/>
              <w:spacing w:before="0" w:after="283"/>
              <w:jc w:val="left"/>
              <w:rPr/>
            </w:pPr>
            <w:r>
              <w:rPr/>
              <w:t> </w:t>
            </w:r>
            <w:bookmarkStart w:id="949" w:name="xdx_40C_eus-gaap--OperatingLeaseLiabilit"/>
            <w:bookmarkEnd w:id="949"/>
          </w:p>
        </w:tc>
      </w:tr>
      <w:tr>
        <w:trPr/>
        <w:tc>
          <w:tcPr>
            <w:tcW w:w="3695" w:type="dxa"/>
            <w:tcBorders/>
            <w:shd w:fill="CCEEFF" w:val="clear"/>
            <w:vAlign w:val="center"/>
          </w:tcPr>
          <w:p>
            <w:pPr>
              <w:pStyle w:val="TableContents"/>
              <w:bidi w:val="0"/>
              <w:spacing w:before="0" w:after="283"/>
              <w:jc w:val="left"/>
              <w:rPr>
                <w:b/>
              </w:rPr>
            </w:pPr>
            <w:r>
              <w:rPr>
                <w:b/>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686,373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708,944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50" w:name="xdx_8AC_zE6TwjMIln4a"/>
      <w:bookmarkEnd w:id="95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22, 2022, Sichuan Leishen Hongzhuo leased a vacant land from Chengdu Longxing Natural Gas Co., Ltd. for the construction of a natural gas recovery station, which complies with national land-use standards. The lease term is </w:t>
      </w:r>
      <w:bookmarkStart w:id="951" w:name="xdx_90A_eus-gaap--LesseeOperatingLeaseTe"/>
      <w:bookmarkEnd w:id="951"/>
      <w:r>
        <w:rPr>
          <w:rFonts w:ascii="Times New Roman;Times;Serif" w:hAnsi="Times New Roman;Times;Serif"/>
          <w:b w:val="false"/>
          <w:i w:val="false"/>
          <w:caps w:val="false"/>
          <w:smallCaps w:val="false"/>
          <w:sz w:val="20"/>
        </w:rPr>
        <w:t xml:space="preserve">eleven years and the annual rent is RMB </w:t>
      </w:r>
      <w:bookmarkStart w:id="952" w:name="xdx_906_eus-gaap--PaymentsForRent_uRMB_c"/>
      <w:bookmarkEnd w:id="952"/>
      <w:r>
        <w:rPr>
          <w:rFonts w:ascii="Times New Roman;Times;Serif" w:hAnsi="Times New Roman;Times;Serif"/>
          <w:b w:val="false"/>
          <w:i w:val="false"/>
          <w:caps w:val="false"/>
          <w:smallCaps w:val="false"/>
          <w:sz w:val="20"/>
        </w:rPr>
        <w:t>133,745($</w:t>
      </w:r>
      <w:bookmarkStart w:id="953" w:name="xdx_903_eus-gaap--PaymentsForRent_c20220"/>
      <w:bookmarkEnd w:id="953"/>
      <w:r>
        <w:rPr>
          <w:rFonts w:ascii="Times New Roman;Times;Serif" w:hAnsi="Times New Roman;Times;Serif"/>
          <w:b w:val="false"/>
          <w:i w:val="false"/>
          <w:caps w:val="false"/>
          <w:smallCaps w:val="false"/>
          <w:sz w:val="20"/>
        </w:rPr>
        <w:t>19,329).</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2023, Sichuan TIBO Fluid Technology Co., Ltd. leased the factory at Shiliba Industrial Park, Xinshi Town, Jianyang City, Sichuan Province to China Oil Blue Ocean. The term is </w:t>
      </w:r>
      <w:bookmarkStart w:id="954" w:name="xdx_90E_eus-gaap--LesseeOperatingLeaseTe"/>
      <w:bookmarkEnd w:id="954"/>
      <w:r>
        <w:rPr>
          <w:rFonts w:ascii="Times New Roman;Times;Serif" w:hAnsi="Times New Roman;Times;Serif"/>
          <w:b w:val="false"/>
          <w:i w:val="false"/>
          <w:caps w:val="false"/>
          <w:smallCaps w:val="false"/>
          <w:sz w:val="20"/>
        </w:rPr>
        <w:t>ten years and the rent is RMB</w:t>
      </w:r>
      <w:bookmarkStart w:id="955" w:name="xdx_903_eus-gaap--PaymentsForRent_uRMB_c"/>
      <w:bookmarkEnd w:id="955"/>
      <w:r>
        <w:rPr>
          <w:rFonts w:ascii="Times New Roman;Times;Serif" w:hAnsi="Times New Roman;Times;Serif"/>
          <w:b w:val="false"/>
          <w:i w:val="false"/>
          <w:caps w:val="false"/>
          <w:smallCaps w:val="false"/>
          <w:sz w:val="20"/>
        </w:rPr>
        <w:t>6,440,367 ($</w:t>
      </w:r>
      <w:bookmarkStart w:id="956" w:name="xdx_902_eus-gaap--PaymentsForRent_c20230"/>
      <w:bookmarkEnd w:id="956"/>
      <w:r>
        <w:rPr>
          <w:rFonts w:ascii="Times New Roman;Times;Serif" w:hAnsi="Times New Roman;Times;Serif"/>
          <w:b w:val="false"/>
          <w:i w:val="false"/>
          <w:caps w:val="false"/>
          <w:smallCaps w:val="false"/>
          <w:sz w:val="20"/>
        </w:rPr>
        <w:t>930,770) in total.</w:t>
      </w:r>
    </w:p>
    <w:p>
      <w:pPr>
        <w:pStyle w:val="TextBody"/>
        <w:bidi w:val="0"/>
        <w:spacing w:before="0" w:after="0"/>
        <w:ind w:left="0" w:right="0" w:hanging="0"/>
        <w:jc w:val="both"/>
        <w:rPr>
          <w:caps w:val="false"/>
          <w:smallCaps w:val="false"/>
        </w:rPr>
      </w:pPr>
      <w:bookmarkStart w:id="957" w:name="xdx_896_ecustom--ScheduleOfWeightedAvera"/>
      <w:bookmarkEnd w:id="957"/>
      <w:r>
        <w:rPr>
          <w:caps w:val="false"/>
          <w:smallCaps w:val="false"/>
        </w:rPr>
        <w:t>  </w:t>
      </w:r>
      <w:bookmarkStart w:id="958" w:name="xdx_8B7_zhRGFVe4j321"/>
      <w:bookmarkEnd w:id="958"/>
      <w:r>
        <w:rPr>
          <w:rFonts w:ascii="Times New Roman;Times;Serif" w:hAnsi="Times New Roman;Times;Serif"/>
          <w:b w:val="false"/>
          <w:i w:val="false"/>
          <w:caps w:val="false"/>
          <w:smallCaps w:val="false"/>
          <w:sz w:val="20"/>
        </w:rPr>
        <w:t>SCHEDULE OF WEIGHTED AVERAGE OF OPERATING LEASE </w:t>
      </w:r>
    </w:p>
    <w:tbl>
      <w:tblPr>
        <w:tblW w:w="6149" w:type="dxa"/>
        <w:jc w:val="left"/>
        <w:tblInd w:w="0" w:type="dxa"/>
        <w:tblLayout w:type="fixed"/>
        <w:tblCellMar>
          <w:top w:w="0" w:type="dxa"/>
          <w:left w:w="0" w:type="dxa"/>
          <w:bottom w:w="0" w:type="dxa"/>
          <w:right w:w="0" w:type="dxa"/>
        </w:tblCellMar>
      </w:tblPr>
      <w:tblGrid>
        <w:gridCol w:w="4970"/>
        <w:gridCol w:w="60"/>
        <w:gridCol w:w="82"/>
        <w:gridCol w:w="807"/>
        <w:gridCol w:w="230"/>
      </w:tblGrid>
      <w:tr>
        <w:trPr/>
        <w:tc>
          <w:tcPr>
            <w:tcW w:w="4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0"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Weighted-average remaining lease term (Unaudited)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bookmarkStart w:id="959" w:name="xdx_90B_eus-gaap--OperatingLeaseWeighted"/>
            <w:bookmarkEnd w:id="959"/>
            <w:r>
              <w:rPr>
                <w:rFonts w:ascii="Times New Roman;Times;Serif" w:hAnsi="Times New Roman;Times;Serif"/>
                <w:sz w:val="20"/>
              </w:rPr>
              <w:t>7 years</w:t>
            </w:r>
          </w:p>
        </w:tc>
        <w:tc>
          <w:tcPr>
            <w:tcW w:w="23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Weighted-average discount rate (Unaudited)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bookmarkStart w:id="960" w:name="xdx_90D_eus-gaap--OperatingLeaseWeighted"/>
            <w:bookmarkEnd w:id="960"/>
            <w:r>
              <w:rPr/>
              <w:t>4.2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961" w:name="xdx_8AA_zG1wSELx2nsh"/>
      <w:bookmarkEnd w:id="9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2" w:name="xdx_891_eus-gaap--LeaseCostTableTextBloc"/>
      <w:bookmarkEnd w:id="962"/>
      <w:r>
        <w:rPr>
          <w:rFonts w:ascii="Times New Roman;Times;Serif" w:hAnsi="Times New Roman;Times;Serif"/>
          <w:b w:val="false"/>
          <w:i w:val="false"/>
          <w:caps w:val="false"/>
          <w:smallCaps w:val="false"/>
          <w:sz w:val="20"/>
        </w:rPr>
        <w:t>A summary of lease cost recognized in Company’s unaudited condensed consolidated financial statements and supplemental cash flow information for operating leases is as follows for the six months ended March 31, 2026 and 2025:</w:t>
      </w:r>
    </w:p>
    <w:p>
      <w:pPr>
        <w:pStyle w:val="TextBody"/>
        <w:bidi w:val="0"/>
        <w:spacing w:before="0" w:after="0"/>
        <w:ind w:left="0" w:right="0" w:hanging="0"/>
        <w:jc w:val="both"/>
        <w:rPr>
          <w:caps w:val="false"/>
          <w:smallCaps w:val="false"/>
        </w:rPr>
      </w:pPr>
      <w:r>
        <w:rPr>
          <w:caps w:val="false"/>
          <w:smallCaps w:val="false"/>
        </w:rPr>
        <w:t>  </w:t>
      </w:r>
      <w:bookmarkStart w:id="963" w:name="xdx_8BE_zxvmmTSQYrmk"/>
      <w:bookmarkEnd w:id="963"/>
      <w:r>
        <w:rPr>
          <w:rFonts w:ascii="Times New Roman;Times;Serif" w:hAnsi="Times New Roman;Times;Serif"/>
          <w:b w:val="false"/>
          <w:i w:val="false"/>
          <w:caps w:val="false"/>
          <w:smallCaps w:val="false"/>
          <w:sz w:val="20"/>
        </w:rPr>
        <w:t>SCHEDULE OF OPERATING LEASE COST </w:t>
      </w:r>
    </w:p>
    <w:tbl>
      <w:tblPr>
        <w:tblW w:w="5623" w:type="dxa"/>
        <w:jc w:val="left"/>
        <w:tblInd w:w="0" w:type="dxa"/>
        <w:tblLayout w:type="fixed"/>
        <w:tblCellMar>
          <w:top w:w="0" w:type="dxa"/>
          <w:left w:w="0" w:type="dxa"/>
          <w:bottom w:w="0" w:type="dxa"/>
          <w:right w:w="0" w:type="dxa"/>
        </w:tblCellMar>
      </w:tblPr>
      <w:tblGrid>
        <w:gridCol w:w="2870"/>
        <w:gridCol w:w="60"/>
        <w:gridCol w:w="212"/>
        <w:gridCol w:w="1037"/>
        <w:gridCol w:w="60"/>
        <w:gridCol w:w="60"/>
        <w:gridCol w:w="212"/>
        <w:gridCol w:w="1037"/>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64" w:name="xdx_496_20251001__20260331_zOYvPQqayd7a"/>
            <w:bookmarkEnd w:id="964"/>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5" w:name="xdx_497_20241001__20250331_zlpYiNQYrI5a"/>
            <w:bookmarkEnd w:id="965"/>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966" w:name="xdx_405_eus-gaap--OperatingLeaseCost_zY3"/>
            <w:bookmarkEnd w:id="966"/>
          </w:p>
        </w:tc>
      </w:tr>
      <w:tr>
        <w:trPr/>
        <w:tc>
          <w:tcPr>
            <w:tcW w:w="287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54,977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46,181</w:t>
            </w:r>
          </w:p>
        </w:tc>
        <w:tc>
          <w:tcPr>
            <w:tcW w:w="75" w:type="dxa"/>
            <w:tcBorders/>
            <w:shd w:fill="CCEEFF" w:val="clear"/>
            <w:vAlign w:val="center"/>
          </w:tcPr>
          <w:p>
            <w:pPr>
              <w:pStyle w:val="TableContents"/>
              <w:bidi w:val="0"/>
              <w:spacing w:before="0" w:after="283"/>
              <w:jc w:val="left"/>
              <w:rPr/>
            </w:pPr>
            <w:r>
              <w:rPr/>
              <w:t> </w:t>
            </w:r>
            <w:bookmarkStart w:id="967" w:name="xdx_407_eus-gaap--OperatingLeasePayments"/>
            <w:bookmarkEnd w:id="967"/>
          </w:p>
        </w:tc>
      </w:tr>
      <w:tr>
        <w:trPr/>
        <w:tc>
          <w:tcPr>
            <w:tcW w:w="2870" w:type="dxa"/>
            <w:tcBorders/>
            <w:shd w:fill="FFFFFF" w:val="clear"/>
            <w:vAlign w:val="center"/>
          </w:tcPr>
          <w:p>
            <w:pPr>
              <w:pStyle w:val="TableContents"/>
              <w:bidi w:val="0"/>
              <w:spacing w:before="0" w:after="283"/>
              <w:jc w:val="left"/>
              <w:rPr/>
            </w:pPr>
            <w:r>
              <w:rPr/>
              <w:t>Cash paid for operating leases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1,393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8" w:name="xdx_8AC_zOrF2hlieNke"/>
      <w:bookmarkEnd w:id="9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69" w:name="xdx_89C_eus-gaap--LesseeOperatingLeaseLi"/>
      <w:bookmarkEnd w:id="969"/>
      <w:r>
        <w:rPr>
          <w:rFonts w:ascii="Times New Roman;Times;Serif" w:hAnsi="Times New Roman;Times;Serif"/>
          <w:b w:val="false"/>
          <w:i w:val="false"/>
          <w:caps w:val="false"/>
          <w:smallCaps w:val="false"/>
          <w:sz w:val="20"/>
        </w:rPr>
        <w:t>A summary of maturity of operating lease liabilities under the Company’s non-cancelable operating leases as of March 31, 2026 is as follows:</w:t>
      </w:r>
    </w:p>
    <w:p>
      <w:pPr>
        <w:pStyle w:val="TextBody"/>
        <w:bidi w:val="0"/>
        <w:spacing w:before="0" w:after="0"/>
        <w:ind w:left="0" w:right="0" w:hanging="0"/>
        <w:jc w:val="both"/>
        <w:rPr>
          <w:caps w:val="false"/>
          <w:smallCaps w:val="false"/>
        </w:rPr>
      </w:pPr>
      <w:r>
        <w:rPr>
          <w:caps w:val="false"/>
          <w:smallCaps w:val="false"/>
        </w:rPr>
        <w:t>  </w:t>
      </w:r>
      <w:bookmarkStart w:id="970" w:name="xdx_8BD_zBiATqqIfXhh"/>
      <w:bookmarkEnd w:id="970"/>
      <w:r>
        <w:rPr>
          <w:rFonts w:ascii="Times New Roman;Times;Serif" w:hAnsi="Times New Roman;Times;Serif"/>
          <w:b w:val="false"/>
          <w:i w:val="false"/>
          <w:caps w:val="false"/>
          <w:smallCaps w:val="false"/>
          <w:sz w:val="20"/>
        </w:rPr>
        <w:t>SCHEDULE OF MATURITY OF OPERATING LEASE LIABILITIES </w:t>
      </w:r>
    </w:p>
    <w:tbl>
      <w:tblPr>
        <w:tblW w:w="5285" w:type="dxa"/>
        <w:jc w:val="left"/>
        <w:tblInd w:w="0" w:type="dxa"/>
        <w:tblLayout w:type="fixed"/>
        <w:tblCellMar>
          <w:top w:w="0" w:type="dxa"/>
          <w:left w:w="0" w:type="dxa"/>
          <w:bottom w:w="28" w:type="dxa"/>
          <w:right w:w="0" w:type="dxa"/>
        </w:tblCellMar>
      </w:tblPr>
      <w:tblGrid>
        <w:gridCol w:w="4175"/>
        <w:gridCol w:w="60"/>
        <w:gridCol w:w="140"/>
        <w:gridCol w:w="800"/>
        <w:gridCol w:w="110"/>
      </w:tblGrid>
      <w:tr>
        <w:trPr/>
        <w:tc>
          <w:tcPr>
            <w:tcW w:w="4175" w:type="dxa"/>
            <w:tcBorders>
              <w:bottom w:val="single" w:sz="8" w:space="0" w:color="000000"/>
            </w:tcBorders>
            <w:vAlign w:val="center"/>
          </w:tcPr>
          <w:p>
            <w:pPr>
              <w:pStyle w:val="TableContents"/>
              <w:bidi w:val="0"/>
              <w:spacing w:before="0" w:after="283"/>
              <w:jc w:val="left"/>
              <w:rPr>
                <w:b/>
              </w:rPr>
            </w:pPr>
            <w:r>
              <w:rPr>
                <w:b/>
              </w:rPr>
              <w:t>Six months ending March 31,</w:t>
            </w:r>
          </w:p>
        </w:tc>
        <w:tc>
          <w:tcPr>
            <w:tcW w:w="60" w:type="dxa"/>
            <w:tcBorders/>
            <w:tcMar>
              <w:bottom w:w="0" w:type="dxa"/>
            </w:tcMar>
            <w:vAlign w:val="center"/>
          </w:tcPr>
          <w:p>
            <w:pPr>
              <w:pStyle w:val="TableContents"/>
              <w:bidi w:val="0"/>
              <w:spacing w:before="0" w:after="283"/>
              <w:jc w:val="left"/>
              <w:rPr/>
            </w:pPr>
            <w:r>
              <w:rPr/>
              <w:t> </w:t>
            </w:r>
            <w:bookmarkStart w:id="971" w:name="xdx_49C_20260331_zWJmy4TQeai1"/>
            <w:bookmarkEnd w:id="971"/>
          </w:p>
        </w:tc>
        <w:tc>
          <w:tcPr>
            <w:tcW w:w="940" w:type="dxa"/>
            <w:gridSpan w:val="2"/>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left"/>
              <w:rPr/>
            </w:pPr>
            <w:r>
              <w:rPr/>
              <w:t> </w:t>
            </w:r>
            <w:bookmarkStart w:id="972" w:name="xdx_400_eus-gaap--LesseeOperatingLeaseLi"/>
            <w:bookmarkEnd w:id="972"/>
          </w:p>
        </w:tc>
      </w:tr>
      <w:tr>
        <w:trPr/>
        <w:tc>
          <w:tcPr>
            <w:tcW w:w="4175" w:type="dxa"/>
            <w:tcBorders/>
            <w:shd w:fill="CCEEFF" w:val="clear"/>
            <w:tcMar>
              <w:bottom w:w="0" w:type="dxa"/>
            </w:tcMar>
            <w:vAlign w:val="center"/>
          </w:tcPr>
          <w:p>
            <w:pPr>
              <w:pStyle w:val="TableContents"/>
              <w:bidi w:val="0"/>
              <w:spacing w:before="0" w:after="283"/>
              <w:jc w:val="left"/>
              <w:rPr/>
            </w:pPr>
            <w:r>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111,486</w:t>
            </w:r>
          </w:p>
        </w:tc>
        <w:tc>
          <w:tcPr>
            <w:tcW w:w="110" w:type="dxa"/>
            <w:tcBorders/>
            <w:shd w:fill="CCEEFF" w:val="clear"/>
            <w:tcMar>
              <w:bottom w:w="0" w:type="dxa"/>
            </w:tcMar>
            <w:vAlign w:val="center"/>
          </w:tcPr>
          <w:p>
            <w:pPr>
              <w:pStyle w:val="TableContents"/>
              <w:bidi w:val="0"/>
              <w:spacing w:before="0" w:after="283"/>
              <w:jc w:val="left"/>
              <w:rPr/>
            </w:pPr>
            <w:r>
              <w:rPr/>
              <w:t> </w:t>
            </w:r>
            <w:bookmarkStart w:id="973" w:name="xdx_40E_eus-gaap--LesseeOperatingLeaseLi"/>
            <w:bookmarkEnd w:id="973"/>
          </w:p>
        </w:tc>
      </w:tr>
      <w:tr>
        <w:trPr/>
        <w:tc>
          <w:tcPr>
            <w:tcW w:w="4175" w:type="dxa"/>
            <w:tcBorders/>
            <w:shd w:fill="FFFFFF" w:val="clear"/>
            <w:tcMar>
              <w:bottom w:w="0" w:type="dxa"/>
            </w:tcMar>
            <w:vAlign w:val="center"/>
          </w:tcPr>
          <w:p>
            <w:pPr>
              <w:pStyle w:val="TableContents"/>
              <w:bidi w:val="0"/>
              <w:spacing w:before="0" w:after="283"/>
              <w:jc w:val="left"/>
              <w:rPr/>
            </w:pPr>
            <w:r>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111,486</w:t>
            </w:r>
          </w:p>
        </w:tc>
        <w:tc>
          <w:tcPr>
            <w:tcW w:w="110" w:type="dxa"/>
            <w:tcBorders/>
            <w:shd w:fill="FFFFFF" w:val="clear"/>
            <w:tcMar>
              <w:bottom w:w="0" w:type="dxa"/>
            </w:tcMar>
            <w:vAlign w:val="center"/>
          </w:tcPr>
          <w:p>
            <w:pPr>
              <w:pStyle w:val="TableContents"/>
              <w:bidi w:val="0"/>
              <w:spacing w:before="0" w:after="283"/>
              <w:jc w:val="left"/>
              <w:rPr/>
            </w:pPr>
            <w:r>
              <w:rPr/>
              <w:t> </w:t>
            </w:r>
            <w:bookmarkStart w:id="974" w:name="xdx_40D_eus-gaap--LesseeOperatingLeaseLi"/>
            <w:bookmarkEnd w:id="974"/>
          </w:p>
        </w:tc>
      </w:tr>
      <w:tr>
        <w:trPr/>
        <w:tc>
          <w:tcPr>
            <w:tcW w:w="4175" w:type="dxa"/>
            <w:tcBorders/>
            <w:shd w:fill="CCEEFF" w:val="clear"/>
            <w:tcMar>
              <w:bottom w:w="0" w:type="dxa"/>
            </w:tcMar>
            <w:vAlign w:val="center"/>
          </w:tcPr>
          <w:p>
            <w:pPr>
              <w:pStyle w:val="TableContents"/>
              <w:bidi w:val="0"/>
              <w:spacing w:before="0" w:after="283"/>
              <w:jc w:val="left"/>
              <w:rPr/>
            </w:pPr>
            <w:r>
              <w:rPr/>
              <w:t>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111,486</w:t>
            </w:r>
          </w:p>
        </w:tc>
        <w:tc>
          <w:tcPr>
            <w:tcW w:w="110" w:type="dxa"/>
            <w:tcBorders/>
            <w:shd w:fill="CCEEFF" w:val="clear"/>
            <w:tcMar>
              <w:bottom w:w="0" w:type="dxa"/>
            </w:tcMar>
            <w:vAlign w:val="center"/>
          </w:tcPr>
          <w:p>
            <w:pPr>
              <w:pStyle w:val="TableContents"/>
              <w:bidi w:val="0"/>
              <w:spacing w:before="0" w:after="283"/>
              <w:jc w:val="left"/>
              <w:rPr/>
            </w:pPr>
            <w:r>
              <w:rPr/>
              <w:t> </w:t>
            </w:r>
            <w:bookmarkStart w:id="975" w:name="xdx_406_eus-gaap--LesseeOperatingLeaseLi"/>
            <w:bookmarkEnd w:id="975"/>
          </w:p>
        </w:tc>
      </w:tr>
      <w:tr>
        <w:trPr/>
        <w:tc>
          <w:tcPr>
            <w:tcW w:w="4175" w:type="dxa"/>
            <w:tcBorders/>
            <w:shd w:fill="FFFFFF" w:val="clear"/>
            <w:tcMar>
              <w:bottom w:w="0" w:type="dxa"/>
            </w:tcMar>
            <w:vAlign w:val="center"/>
          </w:tcPr>
          <w:p>
            <w:pPr>
              <w:pStyle w:val="TableContents"/>
              <w:bidi w:val="0"/>
              <w:spacing w:before="0" w:after="283"/>
              <w:jc w:val="left"/>
              <w:rPr/>
            </w:pPr>
            <w:r>
              <w:rPr/>
              <w:t>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111,486</w:t>
            </w:r>
          </w:p>
        </w:tc>
        <w:tc>
          <w:tcPr>
            <w:tcW w:w="110" w:type="dxa"/>
            <w:tcBorders/>
            <w:shd w:fill="FFFFFF" w:val="clear"/>
            <w:tcMar>
              <w:bottom w:w="0" w:type="dxa"/>
            </w:tcMar>
            <w:vAlign w:val="center"/>
          </w:tcPr>
          <w:p>
            <w:pPr>
              <w:pStyle w:val="TableContents"/>
              <w:bidi w:val="0"/>
              <w:spacing w:before="0" w:after="283"/>
              <w:jc w:val="left"/>
              <w:rPr/>
            </w:pPr>
            <w:r>
              <w:rPr/>
              <w:t> </w:t>
            </w:r>
            <w:bookmarkStart w:id="976" w:name="xdx_40C_ecustom--LesseeOperatingLeaseLia"/>
            <w:bookmarkEnd w:id="976"/>
          </w:p>
        </w:tc>
      </w:tr>
      <w:tr>
        <w:trPr/>
        <w:tc>
          <w:tcPr>
            <w:tcW w:w="4175" w:type="dxa"/>
            <w:tcBorders/>
            <w:shd w:fill="CCEEFF" w:val="clear"/>
            <w:tcMar>
              <w:bottom w:w="0" w:type="dxa"/>
            </w:tcMar>
            <w:vAlign w:val="center"/>
          </w:tcPr>
          <w:p>
            <w:pPr>
              <w:pStyle w:val="TableContents"/>
              <w:bidi w:val="0"/>
              <w:spacing w:before="0" w:after="283"/>
              <w:jc w:val="left"/>
              <w:rPr/>
            </w:pPr>
            <w:r>
              <w:rPr/>
              <w:t>After 2031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331,388</w:t>
            </w:r>
          </w:p>
        </w:tc>
        <w:tc>
          <w:tcPr>
            <w:tcW w:w="110" w:type="dxa"/>
            <w:tcBorders/>
            <w:shd w:fill="CCEEFF" w:val="clear"/>
            <w:tcMar>
              <w:bottom w:w="0" w:type="dxa"/>
            </w:tcMar>
            <w:vAlign w:val="center"/>
          </w:tcPr>
          <w:p>
            <w:pPr>
              <w:pStyle w:val="TableContents"/>
              <w:bidi w:val="0"/>
              <w:spacing w:before="0" w:after="283"/>
              <w:jc w:val="left"/>
              <w:rPr/>
            </w:pPr>
            <w:r>
              <w:rPr/>
              <w:t> </w:t>
            </w:r>
            <w:bookmarkStart w:id="977" w:name="xdx_400_eus-gaap--LesseeOperatingLeaseLi"/>
            <w:bookmarkEnd w:id="977"/>
          </w:p>
        </w:tc>
      </w:tr>
      <w:tr>
        <w:trPr/>
        <w:tc>
          <w:tcPr>
            <w:tcW w:w="4175" w:type="dxa"/>
            <w:tcBorders/>
            <w:shd w:fill="FFFFFF" w:val="clear"/>
            <w:tcMar>
              <w:bottom w:w="0" w:type="dxa"/>
            </w:tcMar>
            <w:vAlign w:val="center"/>
          </w:tcPr>
          <w:p>
            <w:pPr>
              <w:pStyle w:val="TableContents"/>
              <w:bidi w:val="0"/>
              <w:spacing w:before="0" w:after="283"/>
              <w:jc w:val="left"/>
              <w:rPr>
                <w:b/>
              </w:rPr>
            </w:pPr>
            <w:r>
              <w:rPr>
                <w:b/>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b/>
              </w:rPr>
            </w:pPr>
            <w:r>
              <w:rPr>
                <w:b/>
              </w:rPr>
              <w:t>777,332</w:t>
            </w:r>
          </w:p>
        </w:tc>
        <w:tc>
          <w:tcPr>
            <w:tcW w:w="110" w:type="dxa"/>
            <w:tcBorders/>
            <w:shd w:fill="FFFFFF" w:val="clear"/>
            <w:tcMar>
              <w:bottom w:w="0" w:type="dxa"/>
            </w:tcMar>
            <w:vAlign w:val="center"/>
          </w:tcPr>
          <w:p>
            <w:pPr>
              <w:pStyle w:val="TableContents"/>
              <w:bidi w:val="0"/>
              <w:spacing w:before="0" w:after="283"/>
              <w:jc w:val="left"/>
              <w:rPr/>
            </w:pPr>
            <w:r>
              <w:rPr/>
              <w:t> </w:t>
            </w:r>
            <w:bookmarkStart w:id="978" w:name="xdx_400_eus-gaap--LesseeOperatingLeaseLi"/>
            <w:bookmarkEnd w:id="978"/>
          </w:p>
        </w:tc>
      </w:tr>
      <w:tr>
        <w:trPr/>
        <w:tc>
          <w:tcPr>
            <w:tcW w:w="4175" w:type="dxa"/>
            <w:tcBorders/>
            <w:shd w:fill="CCEEFF" w:val="clear"/>
            <w:tcMar>
              <w:bottom w:w="0" w:type="dxa"/>
            </w:tcMar>
            <w:vAlign w:val="center"/>
          </w:tcPr>
          <w:p>
            <w:pPr>
              <w:pStyle w:val="TableContents"/>
              <w:bidi w:val="0"/>
              <w:spacing w:before="0" w:after="283"/>
              <w:jc w:val="left"/>
              <w:rPr/>
            </w:pPr>
            <w:r>
              <w:rPr/>
              <w:t>Less: Imputed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pPr>
            <w:r>
              <w:rPr/>
              <w:t>(90,959</w:t>
            </w:r>
          </w:p>
        </w:tc>
        <w:tc>
          <w:tcPr>
            <w:tcW w:w="110" w:type="dxa"/>
            <w:tcBorders/>
            <w:shd w:fill="CCEEFF" w:val="clear"/>
            <w:tcMar>
              <w:bottom w:w="0" w:type="dxa"/>
            </w:tcMar>
            <w:vAlign w:val="center"/>
          </w:tcPr>
          <w:p>
            <w:pPr>
              <w:pStyle w:val="TableContents"/>
              <w:bidi w:val="0"/>
              <w:spacing w:before="0" w:after="283"/>
              <w:jc w:val="left"/>
              <w:rPr/>
            </w:pPr>
            <w:r>
              <w:rPr/>
              <w:t>)</w:t>
            </w:r>
            <w:bookmarkStart w:id="979" w:name="xdx_40E_eus-gaap--OperatingLeaseLiabilit"/>
            <w:bookmarkEnd w:id="979"/>
          </w:p>
        </w:tc>
      </w:tr>
      <w:tr>
        <w:trPr/>
        <w:tc>
          <w:tcPr>
            <w:tcW w:w="4175" w:type="dxa"/>
            <w:tcBorders/>
            <w:shd w:fill="FFFFFF" w:val="clear"/>
            <w:tcMar>
              <w:bottom w:w="0" w:type="dxa"/>
            </w:tcMar>
            <w:vAlign w:val="center"/>
          </w:tcPr>
          <w:p>
            <w:pPr>
              <w:pStyle w:val="TableContents"/>
              <w:bidi w:val="0"/>
              <w:spacing w:before="0" w:after="283"/>
              <w:jc w:val="left"/>
              <w:rPr>
                <w:b/>
              </w:rPr>
            </w:pPr>
            <w:r>
              <w:rPr>
                <w:b/>
              </w:rPr>
              <w:t>Present value of 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b/>
              </w:rPr>
            </w:pPr>
            <w:r>
              <w:rPr>
                <w:b/>
              </w:rPr>
              <w:t>$</w:t>
            </w:r>
          </w:p>
        </w:tc>
        <w:tc>
          <w:tcPr>
            <w:tcW w:w="800" w:type="dxa"/>
            <w:tcBorders>
              <w:bottom w:val="double" w:sz="6" w:space="0" w:color="000000"/>
            </w:tcBorders>
            <w:shd w:fill="FFFFFF" w:val="clear"/>
            <w:vAlign w:val="center"/>
          </w:tcPr>
          <w:p>
            <w:pPr>
              <w:pStyle w:val="TableContents"/>
              <w:bidi w:val="0"/>
              <w:spacing w:before="0" w:after="283"/>
              <w:jc w:val="right"/>
              <w:rPr>
                <w:b/>
              </w:rPr>
            </w:pPr>
            <w:r>
              <w:rPr>
                <w:b/>
              </w:rPr>
              <w:t>686,373</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80" w:name="xdx_8A3_zSjGFCRTxNac"/>
      <w:bookmarkEnd w:id="98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81" w:name="xdx_802_eus-gaap--RelatedPartyTransactio"/>
      <w:bookmarkEnd w:id="981"/>
      <w:r>
        <w:rPr>
          <w:rFonts w:ascii="Times New Roman;Times;Serif" w:hAnsi="Times New Roman;Times;Serif"/>
          <w:b/>
          <w:i w:val="false"/>
          <w:caps w:val="false"/>
          <w:smallCaps w:val="false"/>
          <w:sz w:val="20"/>
        </w:rPr>
        <w:t xml:space="preserve">NOTE 16 – </w:t>
      </w:r>
      <w:bookmarkStart w:id="982" w:name="xdx_828_z9cS6exfcB1l"/>
      <w:bookmarkEnd w:id="982"/>
      <w:r>
        <w:rPr>
          <w:rFonts w:ascii="Times New Roman;Times;Serif" w:hAnsi="Times New Roman;Times;Serif"/>
          <w:b/>
          <w:i w:val="false"/>
          <w:caps w:val="false"/>
          <w:smallCaps w:val="false"/>
          <w:sz w:val="20"/>
        </w:rPr>
        <w:t>RELATED PARTY BALANCES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major related parties and their relationships with the Company as of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84"/>
        <w:gridCol w:w="60"/>
        <w:gridCol w:w="5561"/>
      </w:tblGrid>
      <w:tr>
        <w:trPr/>
        <w:tc>
          <w:tcPr>
            <w:tcW w:w="458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related parties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5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Group</w:t>
            </w:r>
          </w:p>
        </w:tc>
      </w:tr>
      <w:tr>
        <w:trPr/>
        <w:tc>
          <w:tcPr>
            <w:tcW w:w="45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Hongqi</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5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w:t>
            </w:r>
          </w:p>
        </w:tc>
      </w:tr>
      <w:tr>
        <w:trPr/>
        <w:tc>
          <w:tcPr>
            <w:tcW w:w="45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Hongliang</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5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brother of Li Hongqi</w:t>
            </w:r>
          </w:p>
        </w:tc>
      </w:tr>
      <w:tr>
        <w:trPr/>
        <w:tc>
          <w:tcPr>
            <w:tcW w:w="45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Hongguang</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5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of the Company, brother of Li Hongqi</w:t>
            </w:r>
          </w:p>
        </w:tc>
      </w:tr>
      <w:tr>
        <w:trPr/>
        <w:tc>
          <w:tcPr>
            <w:tcW w:w="45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Sichuan Hongzhuo Shuya Energy Co., Ltd. (“Sichuan Hongzhuo”)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5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equity investee of the Company. On September 12, 2025, the Company sold its equity interest in Sichuan Hongzhuo to a third party.</w:t>
            </w:r>
          </w:p>
        </w:tc>
      </w:tr>
      <w:tr>
        <w:trPr/>
        <w:tc>
          <w:tcPr>
            <w:tcW w:w="45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Happiness Star No.1 Enterprise Management Center (Limited Partnership) (“Beijing Happiness Star”)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5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Hongqi and Li Hongliang each holds 42.98% of the equity interest but Beijing Happiness Star is controlled by Li Hongliang.</w:t>
            </w:r>
          </w:p>
        </w:tc>
      </w:tr>
      <w:tr>
        <w:trPr/>
        <w:tc>
          <w:tcPr>
            <w:tcW w:w="458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Sichuan TIBO Fluid Technology Co., Ltd. (“Sichuan TIBO”)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56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equity investee of the Company. On February 8, 2025, the Company sold its equity interest in Sichuan TIBO to a third party.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3" w:name="xdx_892_eus-gaap--ScheduleOfRelatedParty"/>
      <w:bookmarkEnd w:id="983"/>
      <w:r>
        <w:rPr>
          <w:rFonts w:ascii="Times New Roman;Times;Serif" w:hAnsi="Times New Roman;Times;Serif"/>
          <w:b w:val="false"/>
          <w:i w:val="false"/>
          <w:caps w:val="false"/>
          <w:smallCaps w:val="false"/>
          <w:sz w:val="20"/>
        </w:rPr>
        <w:t>The following related party balances are non-interest bearing as of March 31, 2026 and September 30, 2025:</w:t>
      </w:r>
    </w:p>
    <w:p>
      <w:pPr>
        <w:pStyle w:val="TextBody"/>
        <w:bidi w:val="0"/>
        <w:spacing w:before="0" w:after="0"/>
        <w:ind w:left="0" w:right="0" w:hanging="0"/>
        <w:jc w:val="left"/>
        <w:rPr>
          <w:caps w:val="false"/>
          <w:smallCaps w:val="false"/>
        </w:rPr>
      </w:pPr>
      <w:r>
        <w:rPr>
          <w:caps w:val="false"/>
          <w:smallCaps w:val="false"/>
        </w:rPr>
        <w:t>  </w:t>
      </w:r>
      <w:bookmarkStart w:id="984" w:name="xdx_8B9_zzJIoxVttIwj"/>
      <w:bookmarkEnd w:id="984"/>
      <w:r>
        <w:rPr>
          <w:rFonts w:ascii="Times New Roman;Times;Serif" w:hAnsi="Times New Roman;Times;Serif"/>
          <w:b w:val="false"/>
          <w:i w:val="false"/>
          <w:caps w:val="false"/>
          <w:smallCaps w:val="false"/>
          <w:sz w:val="20"/>
        </w:rPr>
        <w:t>SCHEDULE OF RELATED PARTY TRANSACTIONS </w:t>
      </w:r>
    </w:p>
    <w:tbl>
      <w:tblPr>
        <w:tblW w:w="5968" w:type="dxa"/>
        <w:jc w:val="left"/>
        <w:tblInd w:w="0" w:type="dxa"/>
        <w:tblLayout w:type="fixed"/>
        <w:tblCellMar>
          <w:top w:w="0" w:type="dxa"/>
          <w:left w:w="0" w:type="dxa"/>
          <w:bottom w:w="0" w:type="dxa"/>
          <w:right w:w="0" w:type="dxa"/>
        </w:tblCellMar>
      </w:tblPr>
      <w:tblGrid>
        <w:gridCol w:w="3245"/>
        <w:gridCol w:w="60"/>
        <w:gridCol w:w="155"/>
        <w:gridCol w:w="1094"/>
        <w:gridCol w:w="60"/>
        <w:gridCol w:w="60"/>
        <w:gridCol w:w="152"/>
        <w:gridCol w:w="1067"/>
        <w:gridCol w:w="75"/>
      </w:tblGrid>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85" w:name="xdx_49B_20260331_z0nbFShs7Q5j"/>
            <w:bookmarkEnd w:id="985"/>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6" w:name="xdx_49B_20250930_zMQEq7uCaYgb"/>
            <w:bookmarkEnd w:id="986"/>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b/>
              </w:rPr>
            </w:pPr>
            <w:r>
              <w:rPr>
                <w:b/>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87" w:name="xdx_402_eus-gaap--OtherReceivables_iI_hu"/>
            <w:bookmarkEnd w:id="987"/>
          </w:p>
        </w:tc>
      </w:tr>
      <w:tr>
        <w:trPr/>
        <w:tc>
          <w:tcPr>
            <w:tcW w:w="3245" w:type="dxa"/>
            <w:tcBorders/>
            <w:shd w:fill="FFFFFF" w:val="clear"/>
            <w:vAlign w:val="center"/>
          </w:tcPr>
          <w:p>
            <w:pPr>
              <w:pStyle w:val="TableContents"/>
              <w:bidi w:val="0"/>
              <w:spacing w:before="0" w:after="283"/>
              <w:jc w:val="left"/>
              <w:rPr/>
            </w:pPr>
            <w:r>
              <w:rPr/>
              <w:t xml:space="preserve">Li Hongqi </w:t>
            </w:r>
            <w:bookmarkStart w:id="988" w:name="xdx_F4E_zlRwD31CebH3"/>
            <w:bookmarkEnd w:id="988"/>
            <w:r>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4,387,911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w:t>
            </w:r>
          </w:p>
        </w:tc>
        <w:tc>
          <w:tcPr>
            <w:tcW w:w="1067" w:type="dxa"/>
            <w:tcBorders/>
            <w:shd w:fill="FFFFFF" w:val="clear"/>
            <w:vAlign w:val="center"/>
          </w:tcPr>
          <w:p>
            <w:pPr>
              <w:pStyle w:val="TableContents"/>
              <w:bidi w:val="0"/>
              <w:spacing w:before="0" w:after="283"/>
              <w:jc w:val="right"/>
              <w:rPr/>
            </w:pPr>
            <w:r>
              <w:rPr/>
              <w:t>4,254,385</w:t>
            </w:r>
          </w:p>
        </w:tc>
        <w:tc>
          <w:tcPr>
            <w:tcW w:w="75" w:type="dxa"/>
            <w:tcBorders/>
            <w:shd w:fill="FFFFFF" w:val="clear"/>
            <w:vAlign w:val="center"/>
          </w:tcPr>
          <w:p>
            <w:pPr>
              <w:pStyle w:val="TableContents"/>
              <w:bidi w:val="0"/>
              <w:spacing w:before="0" w:after="283"/>
              <w:jc w:val="left"/>
              <w:rPr/>
            </w:pPr>
            <w:r>
              <w:rPr/>
              <w:t> </w:t>
            </w:r>
            <w:bookmarkStart w:id="989" w:name="xdx_40A_eus-gaap--OtherReceivables_iI_hu"/>
            <w:bookmarkEnd w:id="989"/>
          </w:p>
        </w:tc>
      </w:tr>
      <w:tr>
        <w:trPr/>
        <w:tc>
          <w:tcPr>
            <w:tcW w:w="3245" w:type="dxa"/>
            <w:tcBorders/>
            <w:shd w:fill="CCEEFF" w:val="clear"/>
            <w:vAlign w:val="center"/>
          </w:tcPr>
          <w:p>
            <w:pPr>
              <w:pStyle w:val="TableContents"/>
              <w:bidi w:val="0"/>
              <w:spacing w:before="0" w:after="283"/>
              <w:jc w:val="left"/>
              <w:rPr/>
            </w:pPr>
            <w:r>
              <w:rPr/>
              <w:t xml:space="preserve">Li Hongliang </w:t>
            </w:r>
            <w:bookmarkStart w:id="990" w:name="xdx_F4E_zJvFcmVDdXgg"/>
            <w:bookmarkEnd w:id="990"/>
            <w:r>
              <w:rPr/>
              <w:t>(1)</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1,549,617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1,501,432</w:t>
            </w:r>
          </w:p>
        </w:tc>
        <w:tc>
          <w:tcPr>
            <w:tcW w:w="75" w:type="dxa"/>
            <w:tcBorders/>
            <w:shd w:fill="CCEEFF" w:val="clear"/>
            <w:vAlign w:val="center"/>
          </w:tcPr>
          <w:p>
            <w:pPr>
              <w:pStyle w:val="TableContents"/>
              <w:bidi w:val="0"/>
              <w:spacing w:before="0" w:after="283"/>
              <w:jc w:val="left"/>
              <w:rPr/>
            </w:pPr>
            <w:r>
              <w:rPr/>
              <w:t> </w:t>
            </w:r>
            <w:bookmarkStart w:id="991" w:name="xdx_406_eus-gaap--OtherReceivables_iI_hu"/>
            <w:bookmarkEnd w:id="991"/>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Amount due from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5,937,528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5,755,817</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b/>
              </w:rPr>
            </w:pPr>
            <w:r>
              <w:rPr>
                <w:b/>
              </w:rPr>
              <w:t>Loan receivable -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92" w:name="xdx_40E_eus-gaap--AccountsNotesAndLoansR"/>
            <w:bookmarkEnd w:id="992"/>
          </w:p>
        </w:tc>
      </w:tr>
      <w:tr>
        <w:trPr/>
        <w:tc>
          <w:tcPr>
            <w:tcW w:w="3245" w:type="dxa"/>
            <w:tcBorders/>
            <w:shd w:fill="CCEEFF" w:val="clear"/>
            <w:vAlign w:val="center"/>
          </w:tcPr>
          <w:p>
            <w:pPr>
              <w:pStyle w:val="TableContents"/>
              <w:bidi w:val="0"/>
              <w:spacing w:before="0" w:after="283"/>
              <w:jc w:val="left"/>
              <w:rPr/>
            </w:pPr>
            <w:r>
              <w:rPr/>
              <w:t xml:space="preserve">Beijing Happiness Star </w:t>
            </w:r>
            <w:bookmarkStart w:id="993" w:name="xdx_F46_z8JgcDGk677b"/>
            <w:bookmarkEnd w:id="993"/>
            <w:r>
              <w:rPr/>
              <w:t>(2)</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631,035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bookmarkStart w:id="994" w:name="xdx_409_eus-gaap--AccountsNotesAndLoansR"/>
            <w:bookmarkEnd w:id="994"/>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receivable from a related party</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631,035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995" w:name="xdx_F04_zIbGGW8lOt0k"/>
            <w:bookmarkEnd w:id="995"/>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96" w:name="xdx_F12_zwUlmH4mbQC"/>
            <w:bookmarkEnd w:id="996"/>
            <w:r>
              <w:rPr>
                <w:rFonts w:ascii="Times New Roman;Times;Serif" w:hAnsi="Times New Roman;Times;Serif"/>
                <w:b w:val="false"/>
                <w:i w:val="false"/>
                <w:caps w:val="false"/>
                <w:smallCaps w:val="false"/>
                <w:sz w:val="20"/>
              </w:rPr>
              <w:t>The balances are related primarily to share capital withdrawal to be paid to individual shareholders. On March 12, 2023 and March 20, 2023, China Oil Blue Ocean and ZJY Technologies’ individual shareholders withdrew their share capital from the companies. These share capital withdrawals reduced the Company’s additional paid-in capital by approximatively $</w:t>
            </w:r>
            <w:bookmarkStart w:id="997" w:name="xdx_90B_eus-gaap--AdjustmentsToAdditiona"/>
            <w:bookmarkEnd w:id="997"/>
            <w:r>
              <w:rPr>
                <w:rFonts w:ascii="Times New Roman;Times;Serif" w:hAnsi="Times New Roman;Times;Serif"/>
                <w:b w:val="false"/>
                <w:i w:val="false"/>
                <w:caps w:val="false"/>
                <w:smallCaps w:val="false"/>
                <w:sz w:val="20"/>
              </w:rPr>
              <w:t>10.1 million, and they were credited to amount due to related parties. During fiscal 2024, the Company reduced the amount owed to related parties and paid $</w:t>
            </w:r>
            <w:bookmarkStart w:id="998" w:name="xdx_901_eus-gaap--ProceedsFromRepayments"/>
            <w:bookmarkEnd w:id="998"/>
            <w:r>
              <w:rPr>
                <w:rFonts w:ascii="Times New Roman;Times;Serif" w:hAnsi="Times New Roman;Times;Serif"/>
                <w:b w:val="false"/>
                <w:i w:val="false"/>
                <w:caps w:val="false"/>
                <w:smallCaps w:val="false"/>
                <w:sz w:val="20"/>
              </w:rPr>
              <w:t>1.3 million to Li Hongqi and $</w:t>
            </w:r>
            <w:bookmarkStart w:id="999" w:name="xdx_906_eus-gaap--ProceedsFromRepayments"/>
            <w:bookmarkEnd w:id="999"/>
            <w:r>
              <w:rPr>
                <w:rFonts w:ascii="Times New Roman;Times;Serif" w:hAnsi="Times New Roman;Times;Serif"/>
                <w:b w:val="false"/>
                <w:i w:val="false"/>
                <w:caps w:val="false"/>
                <w:smallCaps w:val="false"/>
                <w:sz w:val="20"/>
              </w:rPr>
              <w:t>2.9 million to Li Hongliang, respectively.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00" w:name="xdx_F02_zCQ62olOthW"/>
            <w:bookmarkEnd w:id="1000"/>
            <w:r>
              <w:rPr>
                <w:rFonts w:ascii="Times New Roman;Times;Serif" w:hAnsi="Times New Roman;Times;Serif"/>
                <w:b w:val="false"/>
                <w:i w:val="false"/>
                <w:caps w:val="false"/>
                <w:smallCaps w:val="false"/>
                <w:sz w:val="20"/>
              </w:rPr>
              <w:t>(2)</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01" w:name="xdx_F17_z99IkljQ8VNg"/>
            <w:bookmarkEnd w:id="1001"/>
            <w:r>
              <w:rPr>
                <w:rFonts w:ascii="Times New Roman;Times;Serif" w:hAnsi="Times New Roman;Times;Serif"/>
                <w:b w:val="false"/>
                <w:i w:val="false"/>
                <w:caps w:val="false"/>
                <w:smallCaps w:val="false"/>
                <w:sz w:val="20"/>
              </w:rPr>
              <w:t xml:space="preserve">On October 22, 2025, China Oil Blue Ocean lent RMB </w:t>
            </w:r>
            <w:bookmarkStart w:id="1002" w:name="xdx_902_ecustom--LoanReceivableRelatedPa"/>
            <w:bookmarkEnd w:id="1002"/>
            <w:r>
              <w:rPr>
                <w:rFonts w:ascii="Times New Roman;Times;Serif" w:hAnsi="Times New Roman;Times;Serif"/>
                <w:b w:val="false"/>
                <w:i w:val="false"/>
                <w:caps w:val="false"/>
                <w:smallCaps w:val="false"/>
                <w:sz w:val="20"/>
              </w:rPr>
              <w:t>4.3 million ($</w:t>
            </w:r>
            <w:bookmarkStart w:id="1003" w:name="xdx_907_ecustom--LoanReceivableRelatedPa"/>
            <w:bookmarkEnd w:id="1003"/>
            <w:r>
              <w:rPr>
                <w:rFonts w:ascii="Times New Roman;Times;Serif" w:hAnsi="Times New Roman;Times;Serif"/>
                <w:b w:val="false"/>
                <w:i w:val="false"/>
                <w:caps w:val="false"/>
                <w:smallCaps w:val="false"/>
                <w:sz w:val="20"/>
              </w:rPr>
              <w:t xml:space="preserve">621,441) to Beijing Happiness Star with annual interest of </w:t>
            </w:r>
            <w:bookmarkStart w:id="1004" w:name="xdx_909_eus-gaap--DebtInstrumentInterest"/>
            <w:bookmarkEnd w:id="1004"/>
            <w:r>
              <w:rPr>
                <w:rFonts w:ascii="Times New Roman;Times;Serif" w:hAnsi="Times New Roman;Times;Serif"/>
                <w:b w:val="false"/>
                <w:i w:val="false"/>
                <w:caps w:val="false"/>
                <w:smallCaps w:val="false"/>
                <w:sz w:val="20"/>
              </w:rPr>
              <w:t xml:space="preserve">3.5% and a term of one year. Interest accrued on this loan was RMB </w:t>
            </w:r>
            <w:bookmarkStart w:id="1005" w:name="xdx_90B_eus-gaap--AccruedInvestmentIncom"/>
            <w:bookmarkEnd w:id="1005"/>
            <w:r>
              <w:rPr>
                <w:rFonts w:ascii="Times New Roman;Times;Serif" w:hAnsi="Times New Roman;Times;Serif"/>
                <w:b w:val="false"/>
                <w:i w:val="false"/>
                <w:caps w:val="false"/>
                <w:smallCaps w:val="false"/>
                <w:sz w:val="20"/>
              </w:rPr>
              <w:t>66,385 ($</w:t>
            </w:r>
            <w:bookmarkStart w:id="1006" w:name="xdx_90C_eus-gaap--AccruedInvestmentIncom"/>
            <w:bookmarkEnd w:id="1006"/>
            <w:r>
              <w:rPr>
                <w:rFonts w:ascii="Times New Roman;Times;Serif" w:hAnsi="Times New Roman;Times;Serif"/>
                <w:b w:val="false"/>
                <w:i w:val="false"/>
                <w:caps w:val="false"/>
                <w:smallCaps w:val="false"/>
                <w:sz w:val="20"/>
              </w:rPr>
              <w:t>9,594) as of March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related party transactions for the six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8848" w:type="dxa"/>
        <w:jc w:val="left"/>
        <w:tblInd w:w="0" w:type="dxa"/>
        <w:tblLayout w:type="fixed"/>
        <w:tblCellMar>
          <w:top w:w="0" w:type="dxa"/>
          <w:left w:w="0" w:type="dxa"/>
          <w:bottom w:w="0" w:type="dxa"/>
          <w:right w:w="0" w:type="dxa"/>
        </w:tblCellMar>
      </w:tblPr>
      <w:tblGrid>
        <w:gridCol w:w="6095"/>
        <w:gridCol w:w="60"/>
        <w:gridCol w:w="741"/>
        <w:gridCol w:w="508"/>
        <w:gridCol w:w="60"/>
        <w:gridCol w:w="60"/>
        <w:gridCol w:w="155"/>
        <w:gridCol w:w="1094"/>
        <w:gridCol w:w="75"/>
      </w:tblGrid>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7" w:name="xdx_498_20251001__20260331_zVwgLcE7wlt4"/>
            <w:bookmarkEnd w:id="100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08" w:name="xdx_49A_20241001__20250331_zUBadkOuVZHg"/>
            <w:bookmarkEnd w:id="100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609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09" w:name="xdx_40B_eus-gaap--Revenues_hus-gaap--Rel"/>
            <w:bookmarkEnd w:id="1009"/>
          </w:p>
        </w:tc>
      </w:tr>
      <w:tr>
        <w:trPr/>
        <w:tc>
          <w:tcPr>
            <w:tcW w:w="6095" w:type="dxa"/>
            <w:tcBorders/>
            <w:shd w:fill="FFFFFF" w:val="clear"/>
            <w:vAlign w:val="center"/>
          </w:tcPr>
          <w:p>
            <w:pPr>
              <w:pStyle w:val="TableContents"/>
              <w:bidi w:val="0"/>
              <w:spacing w:before="0" w:after="283"/>
              <w:jc w:val="left"/>
              <w:rPr/>
            </w:pPr>
            <w:r>
              <w:rPr/>
              <w:t>Equipment sales to Sichuan TIBO Fluid Technology Co., Ltd.</w:t>
            </w:r>
          </w:p>
        </w:tc>
        <w:tc>
          <w:tcPr>
            <w:tcW w:w="60"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w:t>
            </w:r>
          </w:p>
        </w:tc>
        <w:tc>
          <w:tcPr>
            <w:tcW w:w="5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843,144</w:t>
            </w:r>
          </w:p>
        </w:tc>
        <w:tc>
          <w:tcPr>
            <w:tcW w:w="75" w:type="dxa"/>
            <w:tcBorders/>
            <w:shd w:fill="FFFFFF" w:val="clear"/>
            <w:vAlign w:val="center"/>
          </w:tcPr>
          <w:p>
            <w:pPr>
              <w:pStyle w:val="TableContents"/>
              <w:bidi w:val="0"/>
              <w:spacing w:before="0" w:after="283"/>
              <w:jc w:val="left"/>
              <w:rPr/>
            </w:pPr>
            <w:r>
              <w:rPr/>
              <w:t> </w:t>
            </w:r>
            <w:bookmarkStart w:id="1010" w:name="xdx_40F_eus-gaap--Revenues_hus-gaap--Rel"/>
            <w:bookmarkEnd w:id="1010"/>
          </w:p>
        </w:tc>
      </w:tr>
      <w:tr>
        <w:trPr/>
        <w:tc>
          <w:tcPr>
            <w:tcW w:w="6095" w:type="dxa"/>
            <w:tcBorders/>
            <w:shd w:fill="CCEEFF" w:val="clear"/>
            <w:vAlign w:val="center"/>
          </w:tcPr>
          <w:p>
            <w:pPr>
              <w:pStyle w:val="TableContents"/>
              <w:bidi w:val="0"/>
              <w:spacing w:before="0" w:after="283"/>
              <w:jc w:val="left"/>
              <w:rPr/>
            </w:pPr>
            <w:r>
              <w:rPr/>
              <w:t>LNG/CNG sales to Sichuan Hongzhuo Shuya Energy Co., Ltd.</w:t>
            </w:r>
          </w:p>
        </w:tc>
        <w:tc>
          <w:tcPr>
            <w:tcW w:w="60" w:type="dxa"/>
            <w:tcBorders/>
            <w:shd w:fill="CCEEFF" w:val="clear"/>
            <w:vAlign w:val="center"/>
          </w:tcPr>
          <w:p>
            <w:pPr>
              <w:pStyle w:val="TableContents"/>
              <w:bidi w:val="0"/>
              <w:spacing w:before="0" w:after="283"/>
              <w:jc w:val="left"/>
              <w:rPr/>
            </w:pPr>
            <w:r>
              <w:rPr/>
              <w:t> </w:t>
            </w:r>
          </w:p>
        </w:tc>
        <w:tc>
          <w:tcPr>
            <w:tcW w:w="7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2,152,526</w:t>
            </w:r>
          </w:p>
        </w:tc>
        <w:tc>
          <w:tcPr>
            <w:tcW w:w="75" w:type="dxa"/>
            <w:tcBorders/>
            <w:shd w:fill="CCEEFF" w:val="clear"/>
            <w:vAlign w:val="center"/>
          </w:tcPr>
          <w:p>
            <w:pPr>
              <w:pStyle w:val="TableContents"/>
              <w:bidi w:val="0"/>
              <w:spacing w:before="0" w:after="283"/>
              <w:jc w:val="left"/>
              <w:rPr/>
            </w:pPr>
            <w:r>
              <w:rPr/>
              <w:t> </w:t>
            </w:r>
            <w:bookmarkStart w:id="1011" w:name="xdx_40C_eus-gaap--Revenues_hus-gaap--Rel"/>
            <w:bookmarkEnd w:id="1011"/>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FFFFFF" w:val="cle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0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pPr>
            <w:r>
              <w:rPr/>
              <w:t>2,995,670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93" w:type="dxa"/>
        <w:jc w:val="left"/>
        <w:tblInd w:w="0" w:type="dxa"/>
        <w:tblLayout w:type="fixed"/>
        <w:tblCellMar>
          <w:top w:w="0" w:type="dxa"/>
          <w:left w:w="0" w:type="dxa"/>
          <w:bottom w:w="0" w:type="dxa"/>
          <w:right w:w="0" w:type="dxa"/>
        </w:tblCellMar>
      </w:tblPr>
      <w:tblGrid>
        <w:gridCol w:w="4940"/>
        <w:gridCol w:w="60"/>
        <w:gridCol w:w="212"/>
        <w:gridCol w:w="1037"/>
        <w:gridCol w:w="60"/>
        <w:gridCol w:w="60"/>
        <w:gridCol w:w="212"/>
        <w:gridCol w:w="1037"/>
        <w:gridCol w:w="75"/>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2" w:name="xdx_498_20251001__20260331_zn4nrs4JoxEa"/>
            <w:bookmarkEnd w:id="1012"/>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3" w:name="xdx_49A_20241001__20250331_zJ5Exk3X5yK3"/>
            <w:bookmarkEnd w:id="1013"/>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b/>
              </w:rPr>
            </w:pPr>
            <w:r>
              <w:rPr>
                <w:b/>
              </w:rPr>
              <w:t>Leases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14" w:name="xdx_402_ecustom--LessorOperatingFactoryL"/>
            <w:bookmarkEnd w:id="1014"/>
          </w:p>
        </w:tc>
      </w:tr>
      <w:tr>
        <w:trPr/>
        <w:tc>
          <w:tcPr>
            <w:tcW w:w="4940" w:type="dxa"/>
            <w:tcBorders/>
            <w:shd w:fill="FFFFFF" w:val="clear"/>
            <w:vAlign w:val="center"/>
          </w:tcPr>
          <w:p>
            <w:pPr>
              <w:pStyle w:val="TableContents"/>
              <w:bidi w:val="0"/>
              <w:spacing w:before="0" w:after="283"/>
              <w:jc w:val="left"/>
              <w:rPr/>
            </w:pPr>
            <w:r>
              <w:rPr/>
              <w:t>Sichuan TIBO Fluid Technology Co., Ltd. (Lessor)</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44,930</w:t>
            </w:r>
          </w:p>
        </w:tc>
        <w:tc>
          <w:tcPr>
            <w:tcW w:w="75" w:type="dxa"/>
            <w:tcBorders/>
            <w:shd w:fill="FFFFFF" w:val="clear"/>
            <w:vAlign w:val="center"/>
          </w:tcPr>
          <w:p>
            <w:pPr>
              <w:pStyle w:val="TableContents"/>
              <w:bidi w:val="0"/>
              <w:spacing w:before="0" w:after="283"/>
              <w:jc w:val="left"/>
              <w:rPr/>
            </w:pPr>
            <w:r>
              <w:rPr/>
              <w:t> </w:t>
            </w:r>
            <w:bookmarkStart w:id="1015" w:name="xdx_40A_ecustom--LessorOperatingFactoryL"/>
            <w:bookmarkEnd w:id="1015"/>
          </w:p>
        </w:tc>
      </w:tr>
      <w:tr>
        <w:trPr/>
        <w:tc>
          <w:tcPr>
            <w:tcW w:w="4940" w:type="dxa"/>
            <w:tcBorders/>
            <w:shd w:fill="CCEEFF" w:val="clear"/>
            <w:vAlign w:val="center"/>
          </w:tcPr>
          <w:p>
            <w:pPr>
              <w:pStyle w:val="TableContents"/>
              <w:bidi w:val="0"/>
              <w:spacing w:before="0" w:after="283"/>
              <w:jc w:val="left"/>
              <w:rPr/>
            </w:pPr>
            <w:r>
              <w:rPr/>
              <w:t>Li Hongliang</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7,697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8,232</w:t>
            </w:r>
          </w:p>
        </w:tc>
        <w:tc>
          <w:tcPr>
            <w:tcW w:w="75" w:type="dxa"/>
            <w:tcBorders/>
            <w:shd w:fill="CCEEFF" w:val="clear"/>
            <w:vAlign w:val="center"/>
          </w:tcPr>
          <w:p>
            <w:pPr>
              <w:pStyle w:val="TableContents"/>
              <w:bidi w:val="0"/>
              <w:spacing w:before="0" w:after="283"/>
              <w:jc w:val="left"/>
              <w:rPr/>
            </w:pPr>
            <w:r>
              <w:rPr/>
              <w:t> </w:t>
            </w:r>
            <w:bookmarkStart w:id="1016" w:name="xdx_408_ecustom--LessorOperatingFactoryL"/>
            <w:bookmarkEnd w:id="1016"/>
          </w:p>
        </w:tc>
      </w:tr>
      <w:tr>
        <w:trPr/>
        <w:tc>
          <w:tcPr>
            <w:tcW w:w="4940" w:type="dxa"/>
            <w:tcBorders/>
            <w:shd w:fill="FFFFFF" w:val="clear"/>
            <w:vAlign w:val="center"/>
          </w:tcPr>
          <w:p>
            <w:pPr>
              <w:pStyle w:val="TableContents"/>
              <w:bidi w:val="0"/>
              <w:spacing w:before="0" w:after="283"/>
              <w:jc w:val="left"/>
              <w:rPr/>
            </w:pPr>
            <w:r>
              <w:rPr/>
              <w:t>Li Hongqi</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22,745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28,940</w:t>
            </w:r>
          </w:p>
        </w:tc>
        <w:tc>
          <w:tcPr>
            <w:tcW w:w="75" w:type="dxa"/>
            <w:tcBorders/>
            <w:shd w:fill="FFFFFF" w:val="clear"/>
            <w:vAlign w:val="center"/>
          </w:tcPr>
          <w:p>
            <w:pPr>
              <w:pStyle w:val="TableContents"/>
              <w:bidi w:val="0"/>
              <w:spacing w:before="0" w:after="283"/>
              <w:jc w:val="left"/>
              <w:rPr/>
            </w:pPr>
            <w:r>
              <w:rPr/>
              <w:t> </w:t>
            </w:r>
            <w:bookmarkStart w:id="1017" w:name="xdx_40F_ecustom--LessorOperatingFactoryL"/>
            <w:bookmarkEnd w:id="1017"/>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Factory lease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30,442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82,102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853" w:type="dxa"/>
        <w:jc w:val="left"/>
        <w:tblInd w:w="0" w:type="dxa"/>
        <w:tblLayout w:type="fixed"/>
        <w:tblCellMar>
          <w:top w:w="0" w:type="dxa"/>
          <w:left w:w="0" w:type="dxa"/>
          <w:bottom w:w="0" w:type="dxa"/>
          <w:right w:w="0" w:type="dxa"/>
        </w:tblCellMar>
      </w:tblPr>
      <w:tblGrid>
        <w:gridCol w:w="4100"/>
        <w:gridCol w:w="60"/>
        <w:gridCol w:w="741"/>
        <w:gridCol w:w="508"/>
        <w:gridCol w:w="60"/>
        <w:gridCol w:w="60"/>
        <w:gridCol w:w="155"/>
        <w:gridCol w:w="1094"/>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8" w:name="xdx_498_20251001__20260331_zHtoe2w17iVd"/>
            <w:bookmarkEnd w:id="1018"/>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9" w:name="xdx_49A_20241001__20250331_zlL9kgEpaAgj"/>
            <w:bookmarkEnd w:id="1019"/>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Purchase of equipment:</w:t>
            </w:r>
          </w:p>
        </w:tc>
        <w:tc>
          <w:tcPr>
            <w:tcW w:w="60"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1020" w:name="xdx_402_eus-gaap--PaymentsToAcquireProdu"/>
            <w:bookmarkEnd w:id="1020"/>
          </w:p>
        </w:tc>
      </w:tr>
      <w:tr>
        <w:trPr/>
        <w:tc>
          <w:tcPr>
            <w:tcW w:w="4100" w:type="dxa"/>
            <w:tcBorders/>
            <w:shd w:fill="FFFFFF" w:val="clear"/>
            <w:vAlign w:val="center"/>
          </w:tcPr>
          <w:p>
            <w:pPr>
              <w:pStyle w:val="TableContents"/>
              <w:bidi w:val="0"/>
              <w:spacing w:before="0" w:after="283"/>
              <w:jc w:val="left"/>
              <w:rPr/>
            </w:pPr>
            <w:r>
              <w:rPr/>
              <w:t>Sichuan TIBO Fluid Technology Co., Ltd.</w:t>
            </w:r>
          </w:p>
        </w:tc>
        <w:tc>
          <w:tcPr>
            <w:tcW w:w="60" w:type="dxa"/>
            <w:tcBorders/>
            <w:shd w:fill="FFFFFF" w:val="clear"/>
            <w:vAlign w:val="center"/>
          </w:tcPr>
          <w:p>
            <w:pPr>
              <w:pStyle w:val="TableContents"/>
              <w:bidi w:val="0"/>
              <w:spacing w:before="0" w:after="283"/>
              <w:jc w:val="left"/>
              <w:rPr/>
            </w:pPr>
            <w:r>
              <w:rPr/>
              <w:t> </w:t>
            </w:r>
          </w:p>
        </w:tc>
        <w:tc>
          <w:tcPr>
            <w:tcW w:w="7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2,243,086</w:t>
            </w:r>
          </w:p>
        </w:tc>
        <w:tc>
          <w:tcPr>
            <w:tcW w:w="75" w:type="dxa"/>
            <w:tcBorders/>
            <w:shd w:fill="FFFFFF" w:val="clear"/>
            <w:vAlign w:val="center"/>
          </w:tcPr>
          <w:p>
            <w:pPr>
              <w:pStyle w:val="TableContents"/>
              <w:bidi w:val="0"/>
              <w:spacing w:before="0" w:after="283"/>
              <w:jc w:val="left"/>
              <w:rPr/>
            </w:pPr>
            <w:r>
              <w:rPr/>
              <w:t> </w:t>
            </w:r>
            <w:bookmarkStart w:id="1021" w:name="xdx_40C_eus-gaap--PaymentsToAcquireProdu"/>
            <w:bookmarkEnd w:id="1021"/>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equipment</w:t>
            </w:r>
          </w:p>
        </w:tc>
        <w:tc>
          <w:tcPr>
            <w:tcW w:w="60" w:type="dxa"/>
            <w:tcBorders/>
            <w:shd w:fill="CCEEFF" w:val="clear"/>
            <w:vAlign w:val="center"/>
          </w:tcPr>
          <w:p>
            <w:pPr>
              <w:pStyle w:val="TableContents"/>
              <w:bidi w:val="0"/>
              <w:spacing w:before="0" w:after="283"/>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pPr>
            <w:r>
              <w:rPr/>
              <w:t>2,243,086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22" w:name="xdx_8AB_zteH0eRuDCt3"/>
      <w:bookmarkEnd w:id="102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23" w:name="xdx_80A_eus-gaap--StockholdersEquityNote"/>
      <w:bookmarkEnd w:id="1023"/>
      <w:r>
        <w:rPr>
          <w:rFonts w:ascii="Times New Roman;Times;Serif" w:hAnsi="Times New Roman;Times;Serif"/>
          <w:b/>
          <w:i w:val="false"/>
          <w:caps w:val="false"/>
          <w:smallCaps w:val="false"/>
          <w:sz w:val="20"/>
        </w:rPr>
        <w:t xml:space="preserve">NOTE 17 – </w:t>
      </w:r>
      <w:bookmarkStart w:id="1024" w:name="xdx_823_zzaYXVnN8t"/>
      <w:bookmarkEnd w:id="1024"/>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dividends declared and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2025, the shareholders of Huayou Huitong approved a dividend distribution of RMB </w:t>
      </w:r>
      <w:bookmarkStart w:id="1025" w:name="xdx_905_eus-gaap--Dividends_uRMB_c202410"/>
      <w:bookmarkEnd w:id="1025"/>
      <w:r>
        <w:rPr>
          <w:rFonts w:ascii="Times New Roman;Times;Serif" w:hAnsi="Times New Roman;Times;Serif"/>
          <w:b w:val="false"/>
          <w:i w:val="false"/>
          <w:caps w:val="false"/>
          <w:smallCaps w:val="false"/>
          <w:sz w:val="20"/>
        </w:rPr>
        <w:t>984,209 ($</w:t>
      </w:r>
      <w:bookmarkStart w:id="1026" w:name="xdx_90F_eus-gaap--Dividends_c20241001__2"/>
      <w:bookmarkEnd w:id="1026"/>
      <w:r>
        <w:rPr>
          <w:rFonts w:ascii="Times New Roman;Times;Serif" w:hAnsi="Times New Roman;Times;Serif"/>
          <w:b w:val="false"/>
          <w:i w:val="false"/>
          <w:caps w:val="false"/>
          <w:smallCaps w:val="false"/>
          <w:sz w:val="20"/>
        </w:rPr>
        <w:t xml:space="preserve">140,285) to its shareholders, of which RMB </w:t>
      </w:r>
      <w:bookmarkStart w:id="1027" w:name="xdx_90A_ecustom--PaymentsOfDividendsToCo"/>
      <w:bookmarkEnd w:id="1027"/>
      <w:r>
        <w:rPr>
          <w:rFonts w:ascii="Times New Roman;Times;Serif" w:hAnsi="Times New Roman;Times;Serif"/>
          <w:b w:val="false"/>
          <w:i w:val="false"/>
          <w:caps w:val="false"/>
          <w:smallCaps w:val="false"/>
          <w:sz w:val="20"/>
        </w:rPr>
        <w:t>492,105 ($</w:t>
      </w:r>
      <w:bookmarkStart w:id="1028" w:name="xdx_90F_ecustom--PaymentsOfDividendsToCo"/>
      <w:bookmarkEnd w:id="1028"/>
      <w:r>
        <w:rPr>
          <w:rFonts w:ascii="Times New Roman;Times;Serif" w:hAnsi="Times New Roman;Times;Serif"/>
          <w:b w:val="false"/>
          <w:i w:val="false"/>
          <w:caps w:val="false"/>
          <w:smallCaps w:val="false"/>
          <w:sz w:val="20"/>
        </w:rPr>
        <w:t xml:space="preserve">70,143) would be paid to China Oil Blue Ocean, the controlling shareholder, and RMB </w:t>
      </w:r>
      <w:bookmarkStart w:id="1029" w:name="xdx_904_ecustom--PaymentsOfDividendsToNo"/>
      <w:bookmarkEnd w:id="1029"/>
      <w:r>
        <w:rPr>
          <w:rFonts w:ascii="Times New Roman;Times;Serif" w:hAnsi="Times New Roman;Times;Serif"/>
          <w:b w:val="false"/>
          <w:i w:val="false"/>
          <w:caps w:val="false"/>
          <w:smallCaps w:val="false"/>
          <w:sz w:val="20"/>
        </w:rPr>
        <w:t>492,104 ($</w:t>
      </w:r>
      <w:bookmarkStart w:id="1030" w:name="xdx_90E_ecustom--PaymentsOfDividendsToNo"/>
      <w:bookmarkEnd w:id="1030"/>
      <w:r>
        <w:rPr>
          <w:rFonts w:ascii="Times New Roman;Times;Serif" w:hAnsi="Times New Roman;Times;Serif"/>
          <w:b w:val="false"/>
          <w:i w:val="false"/>
          <w:caps w:val="false"/>
          <w:smallCaps w:val="false"/>
          <w:sz w:val="20"/>
        </w:rPr>
        <w:t>70,142) to Xi’an De’an New Material Technology Co., Ltd. (“Xi’an De’an New Material”), the then non-controlling shareholder. All dividends were paid in cash on December 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1" w:name="xdx_894_ecustom--ScheduleOfNoncontrollin"/>
      <w:bookmarkEnd w:id="1031"/>
      <w:r>
        <w:rPr>
          <w:rFonts w:ascii="Times New Roman;Times;Serif" w:hAnsi="Times New Roman;Times;Serif"/>
          <w:b w:val="false"/>
          <w:i w:val="false"/>
          <w:caps w:val="false"/>
          <w:smallCaps w:val="false"/>
          <w:sz w:val="20"/>
        </w:rPr>
        <w:t>Non-controlling interests consist of the following:</w:t>
      </w:r>
    </w:p>
    <w:p>
      <w:pPr>
        <w:pStyle w:val="TextBody"/>
        <w:bidi w:val="0"/>
        <w:spacing w:before="0" w:after="0"/>
        <w:ind w:left="0" w:right="0" w:hanging="0"/>
        <w:jc w:val="both"/>
        <w:rPr>
          <w:caps w:val="false"/>
          <w:smallCaps w:val="false"/>
        </w:rPr>
      </w:pPr>
      <w:r>
        <w:rPr>
          <w:caps w:val="false"/>
          <w:smallCaps w:val="false"/>
        </w:rPr>
        <w:t>  </w:t>
      </w:r>
      <w:bookmarkStart w:id="1032" w:name="xdx_8B2_zE6MRfayqfnj"/>
      <w:bookmarkEnd w:id="1032"/>
      <w:r>
        <w:rPr>
          <w:rFonts w:ascii="Times New Roman;Times;Serif" w:hAnsi="Times New Roman;Times;Serif"/>
          <w:b w:val="false"/>
          <w:i w:val="false"/>
          <w:caps w:val="false"/>
          <w:smallCaps w:val="false"/>
          <w:sz w:val="20"/>
        </w:rPr>
        <w:t>SCHEDULE OF NON - CONTROLLING INTERESTS </w:t>
      </w:r>
    </w:p>
    <w:tbl>
      <w:tblPr>
        <w:tblW w:w="6498" w:type="dxa"/>
        <w:jc w:val="left"/>
        <w:tblInd w:w="0" w:type="dxa"/>
        <w:tblLayout w:type="fixed"/>
        <w:tblCellMar>
          <w:top w:w="0" w:type="dxa"/>
          <w:left w:w="0" w:type="dxa"/>
          <w:bottom w:w="0" w:type="dxa"/>
          <w:right w:w="0" w:type="dxa"/>
        </w:tblCellMar>
      </w:tblPr>
      <w:tblGrid>
        <w:gridCol w:w="3740"/>
        <w:gridCol w:w="60"/>
        <w:gridCol w:w="743"/>
        <w:gridCol w:w="506"/>
        <w:gridCol w:w="60"/>
        <w:gridCol w:w="60"/>
        <w:gridCol w:w="189"/>
        <w:gridCol w:w="1030"/>
        <w:gridCol w:w="110"/>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33" w:name="xdx_499_20260331__srt--TitleOfIndividual"/>
            <w:bookmarkEnd w:id="1033"/>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4" w:name="xdx_494_20250930__srt--TitleOfIndividual"/>
            <w:bookmarkEnd w:id="1034"/>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Huayou</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Huitong</w:t>
            </w:r>
          </w:p>
        </w:tc>
        <w:tc>
          <w:tcPr>
            <w:tcW w:w="110" w:type="dxa"/>
            <w:tcBorders/>
            <w:vAlign w:val="center"/>
          </w:tcPr>
          <w:p>
            <w:pPr>
              <w:pStyle w:val="TableContents"/>
              <w:bidi w:val="0"/>
              <w:spacing w:before="0" w:after="283"/>
              <w:jc w:val="left"/>
              <w:rPr/>
            </w:pPr>
            <w:r>
              <w:rPr/>
              <w:t> </w:t>
            </w:r>
            <w:bookmarkStart w:id="1035" w:name="xdx_40F_eus-gaap--AdditionalPaidInCapita"/>
            <w:bookmarkEnd w:id="1035"/>
          </w:p>
        </w:tc>
      </w:tr>
      <w:tr>
        <w:trPr/>
        <w:tc>
          <w:tcPr>
            <w:tcW w:w="3740" w:type="dxa"/>
            <w:tcBorders/>
            <w:shd w:fill="CCEEFF" w:val="clear"/>
            <w:vAlign w:val="center"/>
          </w:tcPr>
          <w:p>
            <w:pPr>
              <w:pStyle w:val="TableContents"/>
              <w:bidi w:val="0"/>
              <w:spacing w:before="0" w:after="283"/>
              <w:jc w:val="left"/>
              <w:rPr/>
            </w:pPr>
            <w:r>
              <w:rPr/>
              <w:t>Paid-in capital</w:t>
            </w:r>
          </w:p>
        </w:tc>
        <w:tc>
          <w:tcPr>
            <w:tcW w:w="60"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w:t>
            </w:r>
          </w:p>
        </w:tc>
        <w:tc>
          <w:tcPr>
            <w:tcW w:w="50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53,405</w:t>
            </w:r>
          </w:p>
        </w:tc>
        <w:tc>
          <w:tcPr>
            <w:tcW w:w="110" w:type="dxa"/>
            <w:tcBorders/>
            <w:shd w:fill="CCEEFF" w:val="clear"/>
            <w:vAlign w:val="center"/>
          </w:tcPr>
          <w:p>
            <w:pPr>
              <w:pStyle w:val="TableContents"/>
              <w:bidi w:val="0"/>
              <w:spacing w:before="0" w:after="283"/>
              <w:jc w:val="left"/>
              <w:rPr/>
            </w:pPr>
            <w:r>
              <w:rPr/>
              <w:t> </w:t>
            </w:r>
            <w:bookmarkStart w:id="1036" w:name="xdx_407_eus-gaap--RetainedEarningsAccumu"/>
            <w:bookmarkEnd w:id="1036"/>
          </w:p>
        </w:tc>
      </w:tr>
      <w:tr>
        <w:trPr/>
        <w:tc>
          <w:tcPr>
            <w:tcW w:w="3740" w:type="dxa"/>
            <w:tcBorders/>
            <w:shd w:fill="FFFFFF" w:val="clear"/>
            <w:vAlign w:val="center"/>
          </w:tcPr>
          <w:p>
            <w:pPr>
              <w:pStyle w:val="TableContents"/>
              <w:bidi w:val="0"/>
              <w:spacing w:before="0" w:after="283"/>
              <w:jc w:val="left"/>
              <w:rPr/>
            </w:pPr>
            <w:r>
              <w:rPr/>
              <w:t>Deficit</w:t>
            </w:r>
          </w:p>
        </w:tc>
        <w:tc>
          <w:tcPr>
            <w:tcW w:w="60"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(11,473</w:t>
            </w:r>
          </w:p>
        </w:tc>
        <w:tc>
          <w:tcPr>
            <w:tcW w:w="110" w:type="dxa"/>
            <w:tcBorders/>
            <w:shd w:fill="FFFFFF" w:val="clear"/>
            <w:vAlign w:val="center"/>
          </w:tcPr>
          <w:p>
            <w:pPr>
              <w:pStyle w:val="TableContents"/>
              <w:bidi w:val="0"/>
              <w:spacing w:before="0" w:after="283"/>
              <w:jc w:val="left"/>
              <w:rPr/>
            </w:pPr>
            <w:r>
              <w:rPr/>
              <w:t>)</w:t>
            </w:r>
            <w:bookmarkStart w:id="1037" w:name="xdx_404_eus-gaap--AccumulatedOtherCompre"/>
            <w:bookmarkEnd w:id="1037"/>
          </w:p>
        </w:tc>
      </w:tr>
      <w:tr>
        <w:trPr/>
        <w:tc>
          <w:tcPr>
            <w:tcW w:w="3740"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7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(17,167</w:t>
            </w:r>
          </w:p>
        </w:tc>
        <w:tc>
          <w:tcPr>
            <w:tcW w:w="110" w:type="dxa"/>
            <w:tcBorders/>
            <w:shd w:fill="CCEEFF" w:val="clear"/>
            <w:vAlign w:val="center"/>
          </w:tcPr>
          <w:p>
            <w:pPr>
              <w:pStyle w:val="TableContents"/>
              <w:bidi w:val="0"/>
              <w:spacing w:before="0" w:after="283"/>
              <w:jc w:val="left"/>
              <w:rPr/>
            </w:pPr>
            <w:r>
              <w:rPr/>
              <w:t>)</w:t>
            </w:r>
            <w:bookmarkStart w:id="1038" w:name="xdx_40A_eus-gaap--MinorityInterest_iI_z2"/>
            <w:bookmarkEnd w:id="1038"/>
          </w:p>
        </w:tc>
      </w:tr>
      <w:tr>
        <w:trPr/>
        <w:tc>
          <w:tcPr>
            <w:tcW w:w="3740" w:type="dxa"/>
            <w:tcBorders/>
            <w:shd w:fill="FFFFFF" w:val="clear"/>
            <w:vAlign w:val="center"/>
          </w:tcPr>
          <w:p>
            <w:pPr>
              <w:pStyle w:val="TableContents"/>
              <w:bidi w:val="0"/>
              <w:spacing w:before="0" w:after="283"/>
              <w:jc w:val="left"/>
              <w:rPr>
                <w:b/>
              </w:rPr>
            </w:pPr>
            <w:r>
              <w:rPr>
                <w:b/>
              </w:rPr>
              <w:t>Total non-controlling interests</w:t>
            </w:r>
          </w:p>
        </w:tc>
        <w:tc>
          <w:tcPr>
            <w:tcW w:w="60" w:type="dxa"/>
            <w:tcBorders/>
            <w:shd w:fill="FFFFFF" w:val="clear"/>
            <w:vAlign w:val="center"/>
          </w:tcPr>
          <w:p>
            <w:pPr>
              <w:pStyle w:val="TableContents"/>
              <w:bidi w:val="0"/>
              <w:spacing w:before="0" w:after="283"/>
              <w:jc w:val="left"/>
              <w:rPr/>
            </w:pPr>
            <w:r>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24,765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39" w:name="xdx_8A1_zjXppx5EilN7"/>
      <w:bookmarkEnd w:id="103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Huayou Huitong is a limited liability company incorporated on May 29, 2020, under the laws of China; China Oil Blue Ocean holds a </w:t>
      </w:r>
      <w:bookmarkStart w:id="1040" w:name="xdx_901_eus-gaap--MinorityInterestOwners"/>
      <w:bookmarkEnd w:id="1040"/>
      <w:r>
        <w:rPr>
          <w:rFonts w:ascii="Times New Roman;Times;Serif" w:hAnsi="Times New Roman;Times;Serif"/>
          <w:b w:val="false"/>
          <w:i w:val="false"/>
          <w:caps w:val="false"/>
          <w:smallCaps w:val="false"/>
          <w:sz w:val="20"/>
        </w:rPr>
        <w:t xml:space="preserve">51% equity interest. In November 2025, China Oil Blue Ocean signed equity transaction agreements with Xi’an De’an New Material to purchase </w:t>
      </w:r>
      <w:bookmarkStart w:id="1041" w:name="xdx_90E_eus-gaap--MinorityInterestOwners"/>
      <w:bookmarkEnd w:id="1041"/>
      <w:r>
        <w:rPr>
          <w:rFonts w:ascii="Times New Roman;Times;Serif" w:hAnsi="Times New Roman;Times;Serif"/>
          <w:b w:val="false"/>
          <w:i w:val="false"/>
          <w:caps w:val="false"/>
          <w:smallCaps w:val="false"/>
          <w:sz w:val="20"/>
        </w:rPr>
        <w:t xml:space="preserve">49% of the equity interest. The total purchase price for the equity interest was RMB </w:t>
      </w:r>
      <w:bookmarkStart w:id="1042" w:name="xdx_902_eus-gaap--ProceedsFromRepurchase"/>
      <w:bookmarkEnd w:id="1042"/>
      <w:r>
        <w:rPr>
          <w:rFonts w:ascii="Times New Roman;Times;Serif" w:hAnsi="Times New Roman;Times;Serif"/>
          <w:b w:val="false"/>
          <w:i w:val="false"/>
          <w:caps w:val="false"/>
          <w:smallCaps w:val="false"/>
          <w:sz w:val="20"/>
        </w:rPr>
        <w:t>298,585 ($</w:t>
      </w:r>
      <w:bookmarkStart w:id="1043" w:name="xdx_902_eus-gaap--ProceedsFromRepurchase"/>
      <w:bookmarkEnd w:id="1043"/>
      <w:r>
        <w:rPr>
          <w:rFonts w:ascii="Times New Roman;Times;Serif" w:hAnsi="Times New Roman;Times;Serif"/>
          <w:b w:val="false"/>
          <w:i w:val="false"/>
          <w:caps w:val="false"/>
          <w:smallCaps w:val="false"/>
          <w:sz w:val="20"/>
        </w:rPr>
        <w:t xml:space="preserve">42,559). As a result of the equity transaction, China Oil Blue Ocean owns </w:t>
      </w:r>
      <w:bookmarkStart w:id="1044" w:name="xdx_900_eus-gaap--EquityMethodInvestment"/>
      <w:bookmarkEnd w:id="1044"/>
      <w:r>
        <w:rPr>
          <w:rFonts w:ascii="Times New Roman;Times;Serif" w:hAnsi="Times New Roman;Times;Serif"/>
          <w:b w:val="false"/>
          <w:i w:val="false"/>
          <w:caps w:val="false"/>
          <w:smallCaps w:val="false"/>
          <w:sz w:val="20"/>
        </w:rPr>
        <w:t>100% of the equity in Huayou Huitong. As of March 31, 2026, the Company had no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pay dividends is primarily dependent on the Company receiving distributions of funds from its PRC operating subsidiaries.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GAAP differ from those reflected in the statutory financial statements of the Company’s subsidiaries. As of March 31, 2026 and September 30, 2025, restricted net assets of the Company’s PRC subsidiaries were $</w:t>
      </w:r>
      <w:bookmarkStart w:id="1045" w:name="xdx_904_eus-gaap--OtherRestrictedAssets_"/>
      <w:bookmarkEnd w:id="1045"/>
      <w:r>
        <w:rPr>
          <w:rFonts w:ascii="Times New Roman;Times;Serif" w:hAnsi="Times New Roman;Times;Serif"/>
          <w:b w:val="false"/>
          <w:i w:val="false"/>
          <w:caps w:val="false"/>
          <w:smallCaps w:val="false"/>
          <w:sz w:val="20"/>
        </w:rPr>
        <w:t>8,169,003 and $</w:t>
      </w:r>
      <w:bookmarkStart w:id="1046" w:name="xdx_90C_eus-gaap--OtherRestrictedAssets_"/>
      <w:bookmarkEnd w:id="1046"/>
      <w:r>
        <w:rPr>
          <w:rFonts w:ascii="Times New Roman;Times;Serif" w:hAnsi="Times New Roman;Times;Serif"/>
          <w:b w:val="false"/>
          <w:i w:val="false"/>
          <w:caps w:val="false"/>
          <w:smallCaps w:val="false"/>
          <w:sz w:val="20"/>
        </w:rPr>
        <w:t>3,308,960,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47" w:name="xdx_80E_eus-gaap--IncomeTaxDisclosureTex"/>
      <w:bookmarkEnd w:id="1047"/>
      <w:r>
        <w:rPr>
          <w:rFonts w:ascii="Times New Roman;Times;Serif" w:hAnsi="Times New Roman;Times;Serif"/>
          <w:b/>
          <w:i w:val="false"/>
          <w:caps w:val="false"/>
          <w:smallCaps w:val="false"/>
          <w:sz w:val="20"/>
        </w:rPr>
        <w:t xml:space="preserve">NOTE 18 – </w:t>
      </w:r>
      <w:bookmarkStart w:id="1048" w:name="xdx_829_znEklkvx9PV2"/>
      <w:bookmarkEnd w:id="1048"/>
      <w:r>
        <w:rPr>
          <w:rFonts w:ascii="Times New Roman;Times;Serif" w:hAnsi="Times New Roman;Times;Serif"/>
          <w:b/>
          <w:i w:val="false"/>
          <w:caps w:val="false"/>
          <w:smallCaps w:val="false"/>
          <w:sz w:val="20"/>
        </w:rPr>
        <w:t>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income taxes (“EIT”)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on an entity basis on income derived from the location in which each entity is domiciled.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Holding Co., Ltd. is incorporated in Cayman Islands as an offshore holding company and is not subject to tax on income or capital gains under the laws of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Group Holding Co., Limited is incorporated in Hong Kong as a holding company with no activities. Under the Hong Kong tax laws, an entity is not subject to income tax if no revenue is generated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Group Co., Limited is incorporated in Hong Kong, exempted from profit tax on its foreign-sourced income, and there are no withholding taxes in Hong Kong on remittance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w:t>
      </w:r>
      <w:bookmarkStart w:id="1049" w:name="xdx_906_ecustom--DescriptionOfEnterprise"/>
      <w:bookmarkEnd w:id="1049"/>
      <w:r>
        <w:rPr>
          <w:rFonts w:ascii="Times New Roman;Times;Serif" w:hAnsi="Times New Roman;Times;Serif"/>
          <w:b w:val="false"/>
          <w:i w:val="false"/>
          <w:caps w:val="false"/>
          <w:smallCaps w:val="false"/>
          <w:sz w:val="20"/>
        </w:rPr>
        <w:t>Enterprise Income Tax (“EIT”) Law of the PRC, domestic enterprises and Foreign Investment Enterprises (the “FIE”) are subject to a unified 25% EIT rate while preferential tax rates, tax holidays, and even tax exemptions may be granted on case-by-case basis. The PRC tax authorities grant preferential tax treatment to High and New Technology Enterprises (“HNTEs”). Under this preferential tax treatment, HNTEs are entitled to an income tax rate of 15%, subject to a requirement that they re-apply for HNTE status every three years. Since China Oil Blue Ocean was approved as an HNTE in December 2022, China Oil Blue Ocean is entitled to a reduced income tax rate of 15% beginning October 2022 and is able to enjoy the reduced income tax rate through October 2025. In October 2025, China Oil Blue Ocean renewed its HNTE certification for another three years. Since ZJY Technologies was approved as an HNTE in December 2022, ZJY Technologies is entitled to a reduced income tax rate of 15% beginning October 2022 and is able to enjoy the reduced income tax rate through October 2025. In December 2025, ZJY Technologies renewed its HNTE certification for another three years.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740-10-25 prescribes a more-likely-than-not threshold for financial statement recognition and measurement of a tax position taken (or expected to be taken) in a tax return. It also provides guidance on the recognition of income tax assets and liabilities, classification accounting for interest and penalties associated with tax positions, years open for tax examination, accounting for income taxes in interim periods and income tax disclosures. Deferred tax assets and liabilities are determined based on the difference between the financial reporting and tax bases of assets and liabilities using enacted tax rates that will be in effect in the period in which the differences are expected to reverse. The Company records a valuation allowance to offset deferred tax assets if, based on the weight of available evidence, it is more-likely-than-not that some portion, or all, of the deferred tax assets will not be realized. There were no material uncertain tax positions as of March 31, 2026 and September 30, 2025. As of the date of which the condensed consolidated financial statements is released, the tax years ended December 31, 2021 through December 31, 2025 for the Company’s PRC subsidiaries remain open for statutory examination for PRC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0" w:name="xdx_891_ecustom--ScheduleOfIncomeBeforeP"/>
      <w:bookmarkEnd w:id="1050"/>
      <w:r>
        <w:rPr>
          <w:rFonts w:ascii="Times New Roman;Times;Serif" w:hAnsi="Times New Roman;Times;Serif"/>
          <w:b w:val="false"/>
          <w:i w:val="false"/>
          <w:caps w:val="false"/>
          <w:smallCaps w:val="false"/>
          <w:sz w:val="20"/>
        </w:rPr>
        <w:t>(Loss) income before income taxes consisted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1" w:name="xdx_8BE_ze3JelDc3ayb"/>
      <w:bookmarkEnd w:id="1051"/>
      <w:r>
        <w:rPr>
          <w:rFonts w:ascii="Times New Roman;Times;Serif" w:hAnsi="Times New Roman;Times;Serif"/>
          <w:b w:val="false"/>
          <w:i w:val="false"/>
          <w:caps w:val="false"/>
          <w:smallCaps w:val="false"/>
          <w:sz w:val="20"/>
        </w:rPr>
        <w:t>SCHEDULE OF INCOME BEFORE PROVISION FOR INCOME TAXES </w:t>
      </w:r>
    </w:p>
    <w:tbl>
      <w:tblPr>
        <w:tblW w:w="5378" w:type="dxa"/>
        <w:jc w:val="left"/>
        <w:tblInd w:w="0" w:type="dxa"/>
        <w:tblLayout w:type="fixed"/>
        <w:tblCellMar>
          <w:top w:w="0" w:type="dxa"/>
          <w:left w:w="0" w:type="dxa"/>
          <w:bottom w:w="0" w:type="dxa"/>
          <w:right w:w="0" w:type="dxa"/>
        </w:tblCellMar>
      </w:tblPr>
      <w:tblGrid>
        <w:gridCol w:w="2555"/>
        <w:gridCol w:w="60"/>
        <w:gridCol w:w="146"/>
        <w:gridCol w:w="1103"/>
        <w:gridCol w:w="95"/>
        <w:gridCol w:w="60"/>
        <w:gridCol w:w="172"/>
        <w:gridCol w:w="1077"/>
        <w:gridCol w:w="110"/>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2" w:name="xdx_49B_20251001__20260331_zJ5VqbihZnd"/>
            <w:bookmarkEnd w:id="1052"/>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3" w:name="xdx_49C_20241001__20250331_zisMmeCPqve6"/>
            <w:bookmarkEnd w:id="1053"/>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054" w:name="xdx_40C_eus-gaap--IncomeLossFromContinui"/>
            <w:bookmarkEnd w:id="1054"/>
          </w:p>
        </w:tc>
      </w:tr>
      <w:tr>
        <w:trPr/>
        <w:tc>
          <w:tcPr>
            <w:tcW w:w="2555" w:type="dxa"/>
            <w:tcBorders/>
            <w:shd w:fill="CCEEFF" w:val="clear"/>
            <w:vAlign w:val="center"/>
          </w:tcPr>
          <w:p>
            <w:pPr>
              <w:pStyle w:val="TableContents"/>
              <w:bidi w:val="0"/>
              <w:spacing w:before="0" w:after="283"/>
              <w:jc w:val="left"/>
              <w:rPr/>
            </w:pPr>
            <w:r>
              <w:rPr/>
              <w:t>China</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(1,953,913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(954,020</w:t>
            </w:r>
          </w:p>
        </w:tc>
        <w:tc>
          <w:tcPr>
            <w:tcW w:w="110" w:type="dxa"/>
            <w:tcBorders/>
            <w:shd w:fill="CCEEFF" w:val="clear"/>
            <w:vAlign w:val="center"/>
          </w:tcPr>
          <w:p>
            <w:pPr>
              <w:pStyle w:val="TableContents"/>
              <w:bidi w:val="0"/>
              <w:spacing w:before="0" w:after="283"/>
              <w:jc w:val="left"/>
              <w:rPr/>
            </w:pPr>
            <w:r>
              <w:rPr/>
              <w:t>)</w:t>
            </w:r>
            <w:bookmarkStart w:id="1055" w:name="xdx_402_eus-gaap--IncomeLossFromContinui"/>
            <w:bookmarkEnd w:id="1055"/>
          </w:p>
        </w:tc>
      </w:tr>
      <w:tr>
        <w:trPr/>
        <w:tc>
          <w:tcPr>
            <w:tcW w:w="2555" w:type="dxa"/>
            <w:tcBorders/>
            <w:shd w:fill="FFFFFF" w:val="clear"/>
            <w:vAlign w:val="center"/>
          </w:tcPr>
          <w:p>
            <w:pPr>
              <w:pStyle w:val="TableContents"/>
              <w:bidi w:val="0"/>
              <w:spacing w:before="0" w:after="283"/>
              <w:jc w:val="left"/>
              <w:rPr>
                <w:b/>
              </w:rPr>
            </w:pPr>
            <w:r>
              <w:rPr>
                <w:b/>
              </w:rPr>
              <w:t>Loss before 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(1,953,913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(954,020</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bookmarkStart w:id="1056" w:name="xdx_8AF_zraCpsbQgRD1"/>
      <w:bookmarkEnd w:id="10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7" w:name="xdx_89D_eus-gaap--ScheduleOfComponentsOf"/>
      <w:bookmarkEnd w:id="1057"/>
      <w:r>
        <w:rPr>
          <w:rFonts w:ascii="Times New Roman;Times;Serif" w:hAnsi="Times New Roman;Times;Serif"/>
          <w:b w:val="false"/>
          <w:i w:val="false"/>
          <w:caps w:val="false"/>
          <w:smallCaps w:val="false"/>
          <w:sz w:val="20"/>
        </w:rPr>
        <w:t>The income tax (benefit) expense is consisted of the following: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8" w:name="xdx_8B7_zyiFQGFrcgn2"/>
      <w:bookmarkEnd w:id="1058"/>
      <w:r>
        <w:rPr>
          <w:rFonts w:ascii="Times New Roman;Times;Serif" w:hAnsi="Times New Roman;Times;Serif"/>
          <w:b w:val="false"/>
          <w:i w:val="false"/>
          <w:caps w:val="false"/>
          <w:smallCaps w:val="false"/>
          <w:sz w:val="20"/>
        </w:rPr>
        <w:t>SCHEDULE OF PROVISION FOR INCOME TAX </w:t>
      </w:r>
    </w:p>
    <w:tbl>
      <w:tblPr>
        <w:tblW w:w="5738" w:type="dxa"/>
        <w:jc w:val="left"/>
        <w:tblInd w:w="0" w:type="dxa"/>
        <w:tblLayout w:type="fixed"/>
        <w:tblCellMar>
          <w:top w:w="0" w:type="dxa"/>
          <w:left w:w="0" w:type="dxa"/>
          <w:bottom w:w="0" w:type="dxa"/>
          <w:right w:w="0" w:type="dxa"/>
        </w:tblCellMar>
      </w:tblPr>
      <w:tblGrid>
        <w:gridCol w:w="2915"/>
        <w:gridCol w:w="60"/>
        <w:gridCol w:w="172"/>
        <w:gridCol w:w="1077"/>
        <w:gridCol w:w="95"/>
        <w:gridCol w:w="60"/>
        <w:gridCol w:w="194"/>
        <w:gridCol w:w="1055"/>
        <w:gridCol w:w="110"/>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59" w:name="xdx_490_20251001__20260331_zLbcFS6TQEta"/>
            <w:bookmarkEnd w:id="1059"/>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60" w:name="xdx_491_20241001__20250331_z7SM0NOSr8Ve"/>
            <w:bookmarkEnd w:id="1060"/>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061" w:name="xdx_40E_eus-gaap--CurrentIncomeTaxExpens"/>
            <w:bookmarkEnd w:id="1061"/>
          </w:p>
        </w:tc>
      </w:tr>
      <w:tr>
        <w:trPr/>
        <w:tc>
          <w:tcPr>
            <w:tcW w:w="2915" w:type="dxa"/>
            <w:tcBorders/>
            <w:shd w:fill="CCEEFF" w:val="clear"/>
            <w:vAlign w:val="center"/>
          </w:tcPr>
          <w:p>
            <w:pPr>
              <w:pStyle w:val="TableContents"/>
              <w:bidi w:val="0"/>
              <w:spacing w:before="0" w:after="283"/>
              <w:jc w:val="left"/>
              <w:rPr>
                <w:b/>
              </w:rPr>
            </w:pPr>
            <w:r>
              <w:rPr>
                <w:b/>
              </w:rPr>
              <w:t>Current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2" w:name="xdx_40C_eus-gaap--CurrentIncomeTaxExpens"/>
            <w:bookmarkEnd w:id="1062"/>
          </w:p>
        </w:tc>
      </w:tr>
      <w:tr>
        <w:trPr/>
        <w:tc>
          <w:tcPr>
            <w:tcW w:w="291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31,211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(40,787</w:t>
            </w:r>
          </w:p>
        </w:tc>
        <w:tc>
          <w:tcPr>
            <w:tcW w:w="110" w:type="dxa"/>
            <w:tcBorders/>
            <w:shd w:fill="FFFFFF" w:val="clear"/>
            <w:vAlign w:val="center"/>
          </w:tcPr>
          <w:p>
            <w:pPr>
              <w:pStyle w:val="TableContents"/>
              <w:bidi w:val="0"/>
              <w:spacing w:before="0" w:after="283"/>
              <w:jc w:val="left"/>
              <w:rPr/>
            </w:pPr>
            <w:r>
              <w:rPr/>
              <w:t>)</w:t>
            </w:r>
            <w:bookmarkStart w:id="1063" w:name="xdx_403_eus-gaap--CurrentIncomeTaxExpens"/>
            <w:bookmarkEnd w:id="1063"/>
          </w:p>
        </w:tc>
      </w:tr>
      <w:tr>
        <w:trPr/>
        <w:tc>
          <w:tcPr>
            <w:tcW w:w="2915"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31,211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(40,787</w:t>
            </w:r>
          </w:p>
        </w:tc>
        <w:tc>
          <w:tcPr>
            <w:tcW w:w="110" w:type="dxa"/>
            <w:tcBorders/>
            <w:shd w:fill="FFFFFF" w:val="clear"/>
            <w:vAlign w:val="center"/>
          </w:tcPr>
          <w:p>
            <w:pPr>
              <w:pStyle w:val="TableContents"/>
              <w:bidi w:val="0"/>
              <w:spacing w:before="0" w:after="283"/>
              <w:jc w:val="left"/>
              <w:rPr/>
            </w:pPr>
            <w:r>
              <w:rPr/>
              <w:t>)</w:t>
            </w:r>
            <w:bookmarkStart w:id="1064" w:name="xdx_403_eus-gaap--DeferredIncomeTaxExpen"/>
            <w:bookmarkEnd w:id="1064"/>
          </w:p>
        </w:tc>
      </w:tr>
      <w:tr>
        <w:trPr/>
        <w:tc>
          <w:tcPr>
            <w:tcW w:w="2915" w:type="dxa"/>
            <w:tcBorders/>
            <w:shd w:fill="CCEEFF" w:val="clear"/>
            <w:vAlign w:val="center"/>
          </w:tcPr>
          <w:p>
            <w:pPr>
              <w:pStyle w:val="TableContents"/>
              <w:bidi w:val="0"/>
              <w:spacing w:before="0" w:after="283"/>
              <w:jc w:val="left"/>
              <w:rPr>
                <w:b/>
              </w:rPr>
            </w:pPr>
            <w:r>
              <w:rPr>
                <w:b/>
              </w:rPr>
              <w:t>Deferred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65" w:name="xdx_40E_eus-gaap--DeferredIncomeTaxExpen"/>
            <w:bookmarkEnd w:id="1065"/>
          </w:p>
        </w:tc>
      </w:tr>
      <w:tr>
        <w:trPr/>
        <w:tc>
          <w:tcPr>
            <w:tcW w:w="291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(148,385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55,422</w:t>
            </w:r>
          </w:p>
        </w:tc>
        <w:tc>
          <w:tcPr>
            <w:tcW w:w="110" w:type="dxa"/>
            <w:tcBorders/>
            <w:shd w:fill="FFFFFF" w:val="clear"/>
            <w:vAlign w:val="center"/>
          </w:tcPr>
          <w:p>
            <w:pPr>
              <w:pStyle w:val="TableContents"/>
              <w:bidi w:val="0"/>
              <w:spacing w:before="0" w:after="283"/>
              <w:jc w:val="left"/>
              <w:rPr/>
            </w:pPr>
            <w:r>
              <w:rPr/>
              <w:t> </w:t>
            </w:r>
            <w:bookmarkStart w:id="1066" w:name="xdx_401_eus-gaap--DeferredIncomeTaxExpen"/>
            <w:bookmarkEnd w:id="1066"/>
          </w:p>
        </w:tc>
      </w:tr>
      <w:tr>
        <w:trPr/>
        <w:tc>
          <w:tcPr>
            <w:tcW w:w="2915"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(148,385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55,422</w:t>
            </w:r>
          </w:p>
        </w:tc>
        <w:tc>
          <w:tcPr>
            <w:tcW w:w="110" w:type="dxa"/>
            <w:tcBorders/>
            <w:shd w:fill="FFFFFF" w:val="clear"/>
            <w:vAlign w:val="center"/>
          </w:tcPr>
          <w:p>
            <w:pPr>
              <w:pStyle w:val="TableContents"/>
              <w:bidi w:val="0"/>
              <w:spacing w:before="0" w:after="283"/>
              <w:jc w:val="left"/>
              <w:rPr/>
            </w:pPr>
            <w:r>
              <w:rPr/>
              <w:t> </w:t>
            </w:r>
            <w:bookmarkStart w:id="1067" w:name="xdx_408_eus-gaap--IncomeTaxExpenseBenefi"/>
            <w:bookmarkEnd w:id="1067"/>
          </w:p>
        </w:tc>
      </w:tr>
      <w:tr>
        <w:trPr/>
        <w:tc>
          <w:tcPr>
            <w:tcW w:w="2915" w:type="dxa"/>
            <w:tcBorders/>
            <w:shd w:fill="CCEEFF" w:val="clear"/>
            <w:vAlign w:val="center"/>
          </w:tcPr>
          <w:p>
            <w:pPr>
              <w:pStyle w:val="TableContents"/>
              <w:bidi w:val="0"/>
              <w:spacing w:before="0" w:after="283"/>
              <w:jc w:val="left"/>
              <w:rPr>
                <w:b/>
              </w:rPr>
            </w:pPr>
            <w:r>
              <w:rPr>
                <w:b/>
              </w:rPr>
              <w:t>Income tax (benefit) expense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(117,174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14,635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68" w:name="xdx_8A4_zeciYvcj758b"/>
      <w:bookmarkEnd w:id="10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9" w:name="xdx_897_eus-gaap--ScheduleOfEffectiveInc"/>
      <w:bookmarkEnd w:id="1069"/>
      <w:r>
        <w:rPr>
          <w:rFonts w:ascii="Times New Roman;Times;Serif" w:hAnsi="Times New Roman;Times;Serif"/>
          <w:b w:val="false"/>
          <w:i w:val="false"/>
          <w:caps w:val="false"/>
          <w:smallCaps w:val="false"/>
          <w:sz w:val="20"/>
        </w:rPr>
        <w:t>The following table reconciles the statutory rate to the Company’s effective tax rate:</w:t>
      </w:r>
    </w:p>
    <w:p>
      <w:pPr>
        <w:pStyle w:val="TextBody"/>
        <w:bidi w:val="0"/>
        <w:spacing w:before="0" w:after="0"/>
        <w:ind w:left="0" w:right="0" w:hanging="0"/>
        <w:jc w:val="both"/>
        <w:rPr>
          <w:caps w:val="false"/>
          <w:smallCaps w:val="false"/>
        </w:rPr>
      </w:pPr>
      <w:r>
        <w:rPr>
          <w:caps w:val="false"/>
          <w:smallCaps w:val="false"/>
        </w:rPr>
        <w:t> </w:t>
      </w:r>
      <w:bookmarkStart w:id="1070" w:name="xdx_8B4_zebKTwOnANQ2"/>
      <w:bookmarkEnd w:id="1070"/>
      <w:r>
        <w:rPr>
          <w:rFonts w:ascii="Times New Roman;Times;Serif" w:hAnsi="Times New Roman;Times;Serif"/>
          <w:b w:val="false"/>
          <w:i w:val="false"/>
          <w:caps w:val="false"/>
          <w:smallCaps w:val="false"/>
          <w:sz w:val="20"/>
        </w:rPr>
        <w:t>SCHEDULE OF STATUTORY RATE OF EFFECTIVE TAX RATE</w:t>
      </w:r>
    </w:p>
    <w:tbl>
      <w:tblPr>
        <w:tblW w:w="10150" w:type="dxa"/>
        <w:jc w:val="left"/>
        <w:tblInd w:w="0" w:type="dxa"/>
        <w:tblLayout w:type="fixed"/>
        <w:tblCellMar>
          <w:top w:w="0" w:type="dxa"/>
          <w:left w:w="0" w:type="dxa"/>
          <w:bottom w:w="0" w:type="dxa"/>
          <w:right w:w="0" w:type="dxa"/>
        </w:tblCellMar>
      </w:tblPr>
      <w:tblGrid>
        <w:gridCol w:w="5720"/>
        <w:gridCol w:w="60"/>
        <w:gridCol w:w="140"/>
        <w:gridCol w:w="1055"/>
        <w:gridCol w:w="95"/>
        <w:gridCol w:w="60"/>
        <w:gridCol w:w="60"/>
        <w:gridCol w:w="515"/>
        <w:gridCol w:w="290"/>
        <w:gridCol w:w="60"/>
        <w:gridCol w:w="140"/>
        <w:gridCol w:w="875"/>
        <w:gridCol w:w="95"/>
        <w:gridCol w:w="60"/>
        <w:gridCol w:w="60"/>
        <w:gridCol w:w="515"/>
        <w:gridCol w:w="350"/>
      </w:tblGrid>
      <w:tr>
        <w:trPr/>
        <w:tc>
          <w:tcPr>
            <w:tcW w:w="57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71" w:name="xdx_49F_20251001__20260331_zj4J4RCQOtsi"/>
            <w:bookmarkEnd w:id="1071"/>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1072" w:name="xdx_493_20241001__20250331_zMeBKfhl65A5"/>
            <w:bookmarkEnd w:id="1072"/>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20" w:type="dxa"/>
            <w:gridSpan w:val="14"/>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35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5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25" w:type="dxa"/>
            <w:gridSpan w:val="6"/>
            <w:tcBorders/>
            <w:vAlign w:val="center"/>
          </w:tcPr>
          <w:p>
            <w:pPr>
              <w:pStyle w:val="TableContents"/>
              <w:bidi w:val="0"/>
              <w:spacing w:before="0" w:after="283"/>
              <w:jc w:val="center"/>
              <w:rPr>
                <w:b/>
              </w:rPr>
            </w:pPr>
            <w:r>
              <w:rPr>
                <w:b/>
              </w:rPr>
              <w:t>(Unaudited)</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5" w:type="dxa"/>
            <w:gridSpan w:val="6"/>
            <w:tcBorders/>
            <w:vAlign w:val="center"/>
          </w:tcPr>
          <w:p>
            <w:pPr>
              <w:pStyle w:val="TableContents"/>
              <w:bidi w:val="0"/>
              <w:spacing w:before="0" w:after="283"/>
              <w:jc w:val="center"/>
              <w:rPr>
                <w:b/>
              </w:rPr>
            </w:pPr>
            <w:r>
              <w:rPr>
                <w:b/>
              </w:rPr>
              <w:t>(Unaudited)</w:t>
            </w:r>
          </w:p>
        </w:tc>
        <w:tc>
          <w:tcPr>
            <w:tcW w:w="350" w:type="dxa"/>
            <w:tcBorders/>
            <w:vAlign w:val="center"/>
          </w:tcPr>
          <w:p>
            <w:pPr>
              <w:pStyle w:val="TableContents"/>
              <w:bidi w:val="0"/>
              <w:spacing w:before="0" w:after="283"/>
              <w:jc w:val="left"/>
              <w:rPr/>
            </w:pPr>
            <w:r>
              <w:rPr/>
              <w:t> </w:t>
            </w:r>
            <w:bookmarkStart w:id="1073" w:name="xdx_406_ecustom--EffectiveIncomeTaxRateR"/>
            <w:bookmarkEnd w:id="1073"/>
          </w:p>
        </w:tc>
      </w:tr>
      <w:tr>
        <w:trPr/>
        <w:tc>
          <w:tcPr>
            <w:tcW w:w="5720" w:type="dxa"/>
            <w:tcBorders/>
            <w:shd w:fill="CCEEFF" w:val="clear"/>
            <w:vAlign w:val="center"/>
          </w:tcPr>
          <w:p>
            <w:pPr>
              <w:pStyle w:val="TableContents"/>
              <w:bidi w:val="0"/>
              <w:spacing w:before="0" w:after="283"/>
              <w:jc w:val="left"/>
              <w:rPr/>
            </w:pPr>
            <w:r>
              <w:rPr/>
              <w:t>Income tax at expected tax rates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(488,479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bookmarkStart w:id="1074" w:name="xdx_906_ecustom--EffectiveIncomeTaxRateR"/>
            <w:bookmarkEnd w:id="1074"/>
            <w:r>
              <w:rPr/>
              <w:t>25.0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(238,505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bookmarkStart w:id="1075" w:name="xdx_906_ecustom--EffectiveIncomeTaxRateR"/>
            <w:bookmarkEnd w:id="1075"/>
            <w:r>
              <w:rPr/>
              <w:t>25.0</w:t>
            </w:r>
          </w:p>
        </w:tc>
        <w:tc>
          <w:tcPr>
            <w:tcW w:w="350" w:type="dxa"/>
            <w:tcBorders/>
            <w:shd w:fill="CCEEFF" w:val="clear"/>
            <w:vAlign w:val="center"/>
          </w:tcPr>
          <w:p>
            <w:pPr>
              <w:pStyle w:val="TableContents"/>
              <w:bidi w:val="0"/>
              <w:spacing w:before="0" w:after="283"/>
              <w:jc w:val="left"/>
              <w:rPr/>
            </w:pPr>
            <w:r>
              <w:rPr/>
              <w:t>%</w:t>
            </w:r>
            <w:bookmarkStart w:id="1076" w:name="xdx_40D_ecustom--EffectiveIncomeTaxRateR"/>
            <w:bookmarkEnd w:id="1076"/>
          </w:p>
        </w:tc>
      </w:tr>
      <w:tr>
        <w:trPr/>
        <w:tc>
          <w:tcPr>
            <w:tcW w:w="5720" w:type="dxa"/>
            <w:tcBorders/>
            <w:shd w:fill="FFFFFF" w:val="clear"/>
            <w:vAlign w:val="center"/>
          </w:tcPr>
          <w:p>
            <w:pPr>
              <w:pStyle w:val="TableContents"/>
              <w:bidi w:val="0"/>
              <w:spacing w:before="0" w:after="283"/>
              <w:jc w:val="left"/>
              <w:rPr/>
            </w:pPr>
            <w:r>
              <w:rPr/>
              <w:t>Additional deduction of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(14,617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bookmarkStart w:id="1077" w:name="xdx_907_ecustom--EffectiveIncomeTaxRateR"/>
            <w:bookmarkEnd w:id="1077"/>
            <w:r>
              <w:rPr/>
              <w:t>0.7</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(12,980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bookmarkStart w:id="1078" w:name="xdx_90C_ecustom--EffectiveIncomeTaxRateR"/>
            <w:bookmarkEnd w:id="1078"/>
            <w:r>
              <w:rPr/>
              <w:t>1.4</w:t>
            </w:r>
          </w:p>
        </w:tc>
        <w:tc>
          <w:tcPr>
            <w:tcW w:w="350" w:type="dxa"/>
            <w:tcBorders/>
            <w:shd w:fill="FFFFFF" w:val="clear"/>
            <w:vAlign w:val="center"/>
          </w:tcPr>
          <w:p>
            <w:pPr>
              <w:pStyle w:val="TableContents"/>
              <w:bidi w:val="0"/>
              <w:spacing w:before="0" w:after="283"/>
              <w:jc w:val="left"/>
              <w:rPr/>
            </w:pPr>
            <w:r>
              <w:rPr/>
              <w:t>%</w:t>
            </w:r>
            <w:bookmarkStart w:id="1079" w:name="xdx_40C_eus-gaap--IncomeTaxReconciliatio"/>
            <w:bookmarkEnd w:id="1079"/>
          </w:p>
        </w:tc>
      </w:tr>
      <w:tr>
        <w:trPr/>
        <w:tc>
          <w:tcPr>
            <w:tcW w:w="5720" w:type="dxa"/>
            <w:tcBorders/>
            <w:shd w:fill="CCEEFF" w:val="clear"/>
            <w:vAlign w:val="center"/>
          </w:tcPr>
          <w:p>
            <w:pPr>
              <w:pStyle w:val="TableContents"/>
              <w:bidi w:val="0"/>
              <w:spacing w:before="0" w:after="283"/>
              <w:jc w:val="both"/>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bookmarkStart w:id="1080" w:name="xdx_90A_eus-gaap--EffectiveIncomeTaxRate"/>
            <w:bookmarkEnd w:id="1080"/>
            <w:r>
              <w:rPr/>
              <w:t>(1.2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bookmarkStart w:id="1081" w:name="xdx_90A_eus-gaap--EffectiveIncomeTaxRate"/>
            <w:bookmarkEnd w:id="1081"/>
            <w:r>
              <w:rPr/>
              <w:t>(1.6</w:t>
            </w:r>
          </w:p>
        </w:tc>
        <w:tc>
          <w:tcPr>
            <w:tcW w:w="350" w:type="dxa"/>
            <w:tcBorders/>
            <w:shd w:fill="CCEEFF" w:val="clear"/>
            <w:vAlign w:val="center"/>
          </w:tcPr>
          <w:p>
            <w:pPr>
              <w:pStyle w:val="TableContents"/>
              <w:bidi w:val="0"/>
              <w:spacing w:before="0" w:after="283"/>
              <w:jc w:val="left"/>
              <w:rPr/>
            </w:pPr>
            <w:r>
              <w:rPr/>
              <w:t>)%</w:t>
            </w:r>
            <w:bookmarkStart w:id="1082" w:name="xdx_403_ecustom--EffectiveIncomeTaxRateR"/>
            <w:bookmarkEnd w:id="1082"/>
          </w:p>
        </w:tc>
      </w:tr>
      <w:tr>
        <w:trPr/>
        <w:tc>
          <w:tcPr>
            <w:tcW w:w="5720" w:type="dxa"/>
            <w:tcBorders/>
            <w:shd w:fill="FFFFFF" w:val="clear"/>
            <w:vAlign w:val="center"/>
          </w:tcPr>
          <w:p>
            <w:pPr>
              <w:pStyle w:val="TableContents"/>
              <w:bidi w:val="0"/>
              <w:spacing w:before="0" w:after="283"/>
              <w:jc w:val="both"/>
              <w:rPr/>
            </w:pPr>
            <w:r>
              <w:rPr/>
              <w:t xml:space="preserve">Effect of PRC preferential tax rates </w:t>
            </w:r>
            <w:bookmarkStart w:id="1083" w:name="xdx_F43_zNTpprexaQMk"/>
            <w:bookmarkEnd w:id="1083"/>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(1,240,612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bookmarkStart w:id="1084" w:name="xdx_90C_ecustom--EffectiveIncomeTaxRateR"/>
            <w:bookmarkEnd w:id="1084"/>
            <w:r>
              <w:rPr/>
              <w:t>63.6</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202,166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bookmarkStart w:id="1085" w:name="xdx_907_ecustom--EffectiveIncomeTaxRateR"/>
            <w:bookmarkEnd w:id="1085"/>
            <w:r>
              <w:rPr/>
              <w:t>(21.1</w:t>
            </w:r>
          </w:p>
        </w:tc>
        <w:tc>
          <w:tcPr>
            <w:tcW w:w="350" w:type="dxa"/>
            <w:tcBorders/>
            <w:shd w:fill="FFFFFF" w:val="clear"/>
            <w:vAlign w:val="center"/>
          </w:tcPr>
          <w:p>
            <w:pPr>
              <w:pStyle w:val="TableContents"/>
              <w:bidi w:val="0"/>
              <w:spacing w:before="0" w:after="283"/>
              <w:jc w:val="left"/>
              <w:rPr/>
            </w:pPr>
            <w:r>
              <w:rPr/>
              <w:t>)%</w:t>
            </w:r>
            <w:bookmarkStart w:id="1086" w:name="xdx_408_ecustom--EffectiveIncomeTaxRateR"/>
            <w:bookmarkEnd w:id="1086"/>
          </w:p>
        </w:tc>
      </w:tr>
      <w:tr>
        <w:trPr/>
        <w:tc>
          <w:tcPr>
            <w:tcW w:w="5720" w:type="dxa"/>
            <w:tcBorders/>
            <w:shd w:fill="CCEEFF" w:val="clear"/>
            <w:vAlign w:val="center"/>
          </w:tcPr>
          <w:p>
            <w:pPr>
              <w:pStyle w:val="TableContents"/>
              <w:bidi w:val="0"/>
              <w:spacing w:before="0" w:after="283"/>
              <w:jc w:val="both"/>
              <w:rPr/>
            </w:pPr>
            <w:r>
              <w:rPr/>
              <w:t xml:space="preserve">Non-PRC entities not subject to PRC tax </w:t>
            </w:r>
            <w:bookmarkStart w:id="1087" w:name="xdx_F48_zpWk8szx3nm5"/>
            <w:bookmarkEnd w:id="1087"/>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585,288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bookmarkStart w:id="1088" w:name="xdx_90B_ecustom--EffectiveIncomeTaxRateR"/>
            <w:bookmarkEnd w:id="1088"/>
            <w:r>
              <w:rPr/>
              <w:t>(30.0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bookmarkStart w:id="1089" w:name="xdx_905_ecustom--EffectiveIncomeTaxRateR"/>
            <w:bookmarkEnd w:id="1089"/>
            <w:r>
              <w:rPr/>
              <w:t>(2.2</w:t>
            </w:r>
          </w:p>
        </w:tc>
        <w:tc>
          <w:tcPr>
            <w:tcW w:w="350" w:type="dxa"/>
            <w:tcBorders/>
            <w:shd w:fill="CCEEFF" w:val="clear"/>
            <w:vAlign w:val="center"/>
          </w:tcPr>
          <w:p>
            <w:pPr>
              <w:pStyle w:val="TableContents"/>
              <w:bidi w:val="0"/>
              <w:spacing w:before="0" w:after="283"/>
              <w:jc w:val="left"/>
              <w:rPr/>
            </w:pPr>
            <w:r>
              <w:rPr/>
              <w:t>)%</w:t>
            </w:r>
            <w:bookmarkStart w:id="1090" w:name="xdx_406_eus-gaap--IncomeTaxReconciliatio"/>
            <w:bookmarkEnd w:id="1090"/>
          </w:p>
        </w:tc>
      </w:tr>
      <w:tr>
        <w:trPr/>
        <w:tc>
          <w:tcPr>
            <w:tcW w:w="5720" w:type="dxa"/>
            <w:tcBorders/>
            <w:shd w:fill="FFFFFF" w:val="clear"/>
            <w:vAlign w:val="center"/>
          </w:tcPr>
          <w:p>
            <w:pPr>
              <w:pStyle w:val="TableContents"/>
              <w:bidi w:val="0"/>
              <w:spacing w:before="0" w:after="283"/>
              <w:jc w:val="both"/>
              <w:rPr/>
            </w:pPr>
            <w:r>
              <w:rPr/>
              <w:t xml:space="preserve">Change of valuation allowance </w:t>
            </w:r>
            <w:bookmarkStart w:id="1091" w:name="xdx_F47_z74kdwJN0iFe"/>
            <w:bookmarkEnd w:id="1091"/>
            <w:r>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1,017,594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bookmarkStart w:id="1092" w:name="xdx_905_eus-gaap--EffectiveIncomeTaxRate"/>
            <w:bookmarkEnd w:id="1092"/>
            <w:r>
              <w:rPr/>
              <w:t>(52.1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350" w:type="dxa"/>
            <w:tcBorders/>
            <w:shd w:fill="FFFFFF" w:val="clear"/>
            <w:vAlign w:val="center"/>
          </w:tcPr>
          <w:p>
            <w:pPr>
              <w:pStyle w:val="TableContents"/>
              <w:bidi w:val="0"/>
              <w:spacing w:before="0" w:after="283"/>
              <w:jc w:val="left"/>
              <w:rPr/>
            </w:pPr>
            <w:r>
              <w:rPr/>
              <w:t> </w:t>
            </w:r>
            <w:bookmarkStart w:id="1093" w:name="xdx_40D_eus-gaap--IncomeTaxReconciliatio"/>
            <w:bookmarkEnd w:id="1093"/>
          </w:p>
        </w:tc>
      </w:tr>
      <w:tr>
        <w:trPr/>
        <w:tc>
          <w:tcPr>
            <w:tcW w:w="5720" w:type="dxa"/>
            <w:tcBorders/>
            <w:shd w:fill="CCEEFF" w:val="clear"/>
            <w:vAlign w:val="center"/>
          </w:tcPr>
          <w:p>
            <w:pPr>
              <w:pStyle w:val="TableContents"/>
              <w:bidi w:val="0"/>
              <w:spacing w:before="0" w:after="283"/>
              <w:jc w:val="both"/>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28,826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1094" w:name="xdx_90A_eus-gaap--EffectiveIncomeTaxRate"/>
            <w:bookmarkEnd w:id="1094"/>
            <w:r>
              <w:rPr/>
              <w:t>(3.0</w:t>
            </w:r>
          </w:p>
        </w:tc>
        <w:tc>
          <w:tcPr>
            <w:tcW w:w="350" w:type="dxa"/>
            <w:tcBorders/>
            <w:shd w:fill="CCEEFF" w:val="clear"/>
            <w:vAlign w:val="center"/>
          </w:tcPr>
          <w:p>
            <w:pPr>
              <w:pStyle w:val="TableContents"/>
              <w:bidi w:val="0"/>
              <w:spacing w:before="0" w:after="283"/>
              <w:jc w:val="left"/>
              <w:rPr/>
            </w:pPr>
            <w:r>
              <w:rPr/>
              <w:t>)%</w:t>
            </w:r>
            <w:bookmarkStart w:id="1095" w:name="xdx_408_eus-gaap--IncomeTaxExpenseBenefi"/>
            <w:bookmarkEnd w:id="1095"/>
          </w:p>
        </w:tc>
      </w:tr>
      <w:tr>
        <w:trPr/>
        <w:tc>
          <w:tcPr>
            <w:tcW w:w="5720" w:type="dxa"/>
            <w:tcBorders/>
            <w:shd w:fill="FFFFFF" w:val="clear"/>
            <w:vAlign w:val="center"/>
          </w:tcPr>
          <w:p>
            <w:pPr>
              <w:pStyle w:val="TableContents"/>
              <w:bidi w:val="0"/>
              <w:spacing w:before="0" w:after="283"/>
              <w:jc w:val="both"/>
              <w:rPr>
                <w:b/>
              </w:rPr>
            </w:pPr>
            <w:r>
              <w:rPr>
                <w:b/>
              </w:rPr>
              <w:t>Effective tax rate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(117,174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096" w:name="xdx_908_eus-gaap--EffectiveIncomeTaxRate"/>
            <w:bookmarkEnd w:id="1096"/>
            <w:r>
              <w:rPr>
                <w:b/>
              </w:rPr>
              <w:t>6.0</w:t>
            </w:r>
          </w:p>
        </w:tc>
        <w:tc>
          <w:tcPr>
            <w:tcW w:w="29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right"/>
              <w:rPr>
                <w:b/>
              </w:rPr>
            </w:pPr>
            <w:bookmarkStart w:id="1097" w:name="xdx_900_eus-gaap--EffectiveIncomeTaxRate"/>
            <w:bookmarkEnd w:id="1097"/>
            <w:r>
              <w:rPr>
                <w:b/>
              </w:rPr>
              <w:t>(1.5</w:t>
            </w:r>
          </w:p>
        </w:tc>
        <w:tc>
          <w:tcPr>
            <w:tcW w:w="35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098" w:name="xdx_F0A_zHvE8gbmcMyk"/>
            <w:bookmarkEnd w:id="1098"/>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bookmarkStart w:id="1099" w:name="xdx_F18_z4MDaHDVlpIa"/>
            <w:bookmarkEnd w:id="1099"/>
            <w:r>
              <w:rPr>
                <w:rFonts w:ascii="Times New Roman;Times;Serif" w:hAnsi="Times New Roman;Times;Serif"/>
                <w:b w:val="false"/>
                <w:i w:val="false"/>
                <w:caps w:val="false"/>
                <w:smallCaps w:val="false"/>
                <w:sz w:val="20"/>
              </w:rPr>
              <w:t xml:space="preserve">China Oil Blue Ocean and ZJY Technologies were approved as HNTE in December 2022; they are entitled to a 10% reduction in income tax rate from </w:t>
            </w:r>
            <w:bookmarkStart w:id="1100" w:name="xdx_90A_eus-gaap--EffectiveIncomeTaxRate"/>
            <w:bookmarkEnd w:id="1100"/>
            <w:r>
              <w:rPr>
                <w:rFonts w:ascii="Times New Roman;Times;Serif" w:hAnsi="Times New Roman;Times;Serif"/>
                <w:b w:val="false"/>
                <w:i w:val="false"/>
                <w:caps w:val="false"/>
                <w:smallCaps w:val="false"/>
                <w:sz w:val="20"/>
              </w:rPr>
              <w:t xml:space="preserve">25% to </w:t>
            </w:r>
            <w:bookmarkStart w:id="1101" w:name="xdx_901_eus-gaap--EffectiveIncomeTaxRate"/>
            <w:bookmarkEnd w:id="1101"/>
            <w:r>
              <w:rPr>
                <w:rFonts w:ascii="Times New Roman;Times;Serif" w:hAnsi="Times New Roman;Times;Serif"/>
                <w:b w:val="false"/>
                <w:i w:val="false"/>
                <w:caps w:val="false"/>
                <w:smallCaps w:val="false"/>
                <w:sz w:val="20"/>
              </w:rPr>
              <w:t>15%. Xinjiang Breslin is registered in the Khorgos Economic Development Zone, enjoying a preferential policy of full exemption from corporate income tax for five years.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31,2026, net income generated by Xinjiang Breslin was offset by the losses of other subsidiaries of the Company, therefore the preferential tax rate of Xinjiang Breslin increased the overall effective tax rate of the Company.</w:t>
            </w:r>
          </w:p>
        </w:tc>
      </w:tr>
      <w:tr>
        <w:trPr/>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02" w:name="xdx_F0F_z5j4F0KQOWT1"/>
            <w:bookmarkEnd w:id="1102"/>
            <w:r>
              <w:rPr>
                <w:rFonts w:ascii="Times New Roman;Times;Serif" w:hAnsi="Times New Roman;Times;Serif"/>
                <w:b w:val="false"/>
                <w:i w:val="false"/>
                <w:caps w:val="false"/>
                <w:smallCaps w:val="false"/>
                <w:sz w:val="20"/>
              </w:rPr>
              <w:t>(2)</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03" w:name="xdx_F11_zJoZOfLhmY99"/>
            <w:bookmarkEnd w:id="1103"/>
            <w:r>
              <w:rPr>
                <w:rFonts w:ascii="Times New Roman;Times;Serif" w:hAnsi="Times New Roman;Times;Serif"/>
                <w:b w:val="false"/>
                <w:i w:val="false"/>
                <w:caps w:val="false"/>
                <w:smallCaps w:val="false"/>
                <w:sz w:val="20"/>
              </w:rPr>
              <w:t>Leishen Hong Kong is a non-PRC entity not subject to PRC corporate income tax policies. For the six months ended March 31,2026, with the Company in an overall loss position, the net loss of Leishen Hong Kong decreased the overall effective tax rate of the Company.</w:t>
            </w:r>
          </w:p>
        </w:tc>
      </w:tr>
      <w:tr>
        <w:trPr/>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104" w:name="xdx_F0C_zmODZoJIjMWe"/>
            <w:bookmarkEnd w:id="1104"/>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105" w:name="xdx_F10_z4kqQL33C5j6"/>
            <w:bookmarkEnd w:id="1105"/>
            <w:r>
              <w:rPr>
                <w:rFonts w:ascii="Times New Roman;Times;Serif" w:hAnsi="Times New Roman;Times;Serif"/>
                <w:b w:val="false"/>
                <w:i w:val="false"/>
                <w:caps w:val="false"/>
                <w:smallCaps w:val="false"/>
                <w:sz w:val="20"/>
              </w:rPr>
              <w:t>Since 2025, ZJY Technologies, Leishen Services, and certain other companies have incurred continuous net losses. As ZJY Technologies and Leishen Services may not generate sufficient future taxable income to utilize its net operating loss carryforwards, management recognized a full allowance for its deferred tax assets as of March 31, 2026.</w:t>
            </w:r>
          </w:p>
        </w:tc>
      </w:tr>
    </w:tbl>
    <w:p>
      <w:pPr>
        <w:pStyle w:val="TextBody"/>
        <w:bidi w:val="0"/>
        <w:spacing w:before="0" w:after="0"/>
        <w:ind w:left="0" w:right="0" w:hanging="0"/>
        <w:jc w:val="left"/>
        <w:rPr>
          <w:caps w:val="false"/>
          <w:smallCaps w:val="false"/>
        </w:rPr>
      </w:pPr>
      <w:bookmarkStart w:id="1106" w:name="xdx_8A3_zK9AJyulnDli"/>
      <w:bookmarkEnd w:id="110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07" w:name="xdx_896_eus-gaap--ScheduleOfDeferredTaxA"/>
      <w:bookmarkEnd w:id="1107"/>
      <w:r>
        <w:rPr>
          <w:rFonts w:ascii="Times New Roman;Times;Serif" w:hAnsi="Times New Roman;Times;Serif"/>
          <w:b w:val="false"/>
          <w:i w:val="false"/>
          <w:caps w:val="false"/>
          <w:smallCaps w:val="false"/>
          <w:sz w:val="20"/>
        </w:rPr>
        <w:t>Components of deferred tax assets and liabilities were as follows:</w:t>
      </w:r>
    </w:p>
    <w:p>
      <w:pPr>
        <w:pStyle w:val="TextBody"/>
        <w:bidi w:val="0"/>
        <w:spacing w:before="0" w:after="0"/>
        <w:ind w:left="0" w:right="0" w:hanging="0"/>
        <w:jc w:val="both"/>
        <w:rPr>
          <w:caps w:val="false"/>
          <w:smallCaps w:val="false"/>
        </w:rPr>
      </w:pPr>
      <w:r>
        <w:rPr>
          <w:caps w:val="false"/>
          <w:smallCaps w:val="false"/>
        </w:rPr>
        <w:t> </w:t>
      </w:r>
      <w:bookmarkStart w:id="1108" w:name="xdx_8B4_znQm8qDZEFi6"/>
      <w:bookmarkEnd w:id="1108"/>
      <w:r>
        <w:rPr>
          <w:rFonts w:ascii="Times New Roman;Times;Serif" w:hAnsi="Times New Roman;Times;Serif"/>
          <w:b w:val="false"/>
          <w:i w:val="false"/>
          <w:caps w:val="false"/>
          <w:smallCaps w:val="false"/>
          <w:sz w:val="20"/>
        </w:rPr>
        <w:t>SCHEDULE OF COMPONENTS OF DEFERRED TAX ASSETS AND LIABILITIES</w:t>
      </w:r>
    </w:p>
    <w:tbl>
      <w:tblPr>
        <w:tblW w:w="6383" w:type="dxa"/>
        <w:jc w:val="left"/>
        <w:tblInd w:w="0" w:type="dxa"/>
        <w:tblLayout w:type="fixed"/>
        <w:tblCellMar>
          <w:top w:w="0" w:type="dxa"/>
          <w:left w:w="0" w:type="dxa"/>
          <w:bottom w:w="0" w:type="dxa"/>
          <w:right w:w="0" w:type="dxa"/>
        </w:tblCellMar>
      </w:tblPr>
      <w:tblGrid>
        <w:gridCol w:w="3590"/>
        <w:gridCol w:w="60"/>
        <w:gridCol w:w="146"/>
        <w:gridCol w:w="1103"/>
        <w:gridCol w:w="95"/>
        <w:gridCol w:w="60"/>
        <w:gridCol w:w="142"/>
        <w:gridCol w:w="1077"/>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09" w:name="xdx_49D_20260331_zqtBqZRmJiq7"/>
            <w:bookmarkEnd w:id="1109"/>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0" w:name="xdx_49C_20250930_zrQqMi0P9apb"/>
            <w:bookmarkEnd w:id="1110"/>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111" w:name="xdx_407_eus-gaap--DeferredTaxAssetsNetAb"/>
            <w:bookmarkEnd w:id="1111"/>
          </w:p>
        </w:tc>
      </w:tr>
      <w:tr>
        <w:trPr/>
        <w:tc>
          <w:tcPr>
            <w:tcW w:w="3590" w:type="dxa"/>
            <w:tcBorders/>
            <w:shd w:fill="CCEEFF" w:val="clear"/>
            <w:vAlign w:val="center"/>
          </w:tcPr>
          <w:p>
            <w:pPr>
              <w:pStyle w:val="TableContents"/>
              <w:bidi w:val="0"/>
              <w:spacing w:before="0" w:after="283"/>
              <w:jc w:val="left"/>
              <w:rPr>
                <w:b/>
              </w:rPr>
            </w:pPr>
            <w:r>
              <w:rPr>
                <w:b/>
              </w:rPr>
              <w:t>Deferred tax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2" w:name="xdx_404_ecustom--DeferredTaxAssetsAllowa"/>
            <w:bookmarkEnd w:id="1112"/>
          </w:p>
        </w:tc>
      </w:tr>
      <w:tr>
        <w:trPr/>
        <w:tc>
          <w:tcPr>
            <w:tcW w:w="3590" w:type="dxa"/>
            <w:tcBorders/>
            <w:shd w:fill="FFFFFF" w:val="clear"/>
            <w:vAlign w:val="center"/>
          </w:tcPr>
          <w:p>
            <w:pPr>
              <w:pStyle w:val="TableContents"/>
              <w:bidi w:val="0"/>
              <w:spacing w:before="0" w:after="283"/>
              <w:jc w:val="left"/>
              <w:rPr/>
            </w:pPr>
            <w:r>
              <w:rPr/>
              <w:t>Allowance for doubtful accounts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1,525,526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1,229,011</w:t>
            </w:r>
          </w:p>
        </w:tc>
        <w:tc>
          <w:tcPr>
            <w:tcW w:w="110" w:type="dxa"/>
            <w:tcBorders/>
            <w:shd w:fill="FFFFFF" w:val="clear"/>
            <w:vAlign w:val="center"/>
          </w:tcPr>
          <w:p>
            <w:pPr>
              <w:pStyle w:val="TableContents"/>
              <w:bidi w:val="0"/>
              <w:spacing w:before="0" w:after="283"/>
              <w:jc w:val="left"/>
              <w:rPr/>
            </w:pPr>
            <w:r>
              <w:rPr/>
              <w:t> </w:t>
            </w:r>
            <w:bookmarkStart w:id="1113" w:name="xdx_40A_eus-gaap--DeferredTaxAssetsInves"/>
            <w:bookmarkEnd w:id="1113"/>
          </w:p>
        </w:tc>
      </w:tr>
      <w:tr>
        <w:trPr/>
        <w:tc>
          <w:tcPr>
            <w:tcW w:w="3590" w:type="dxa"/>
            <w:tcBorders/>
            <w:shd w:fill="CCEEFF" w:val="clear"/>
            <w:vAlign w:val="center"/>
          </w:tcPr>
          <w:p>
            <w:pPr>
              <w:pStyle w:val="TableContents"/>
              <w:bidi w:val="0"/>
              <w:spacing w:before="0" w:after="283"/>
              <w:jc w:val="left"/>
              <w:rPr/>
            </w:pPr>
            <w:r>
              <w:rPr/>
              <w:t>Impairment of a long-term investment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14" w:name="xdx_402_ecustom--DeferredTaxAssetsUnbill"/>
            <w:bookmarkEnd w:id="1114"/>
          </w:p>
        </w:tc>
      </w:tr>
      <w:tr>
        <w:trPr/>
        <w:tc>
          <w:tcPr>
            <w:tcW w:w="3590" w:type="dxa"/>
            <w:tcBorders/>
            <w:shd w:fill="FFFFFF" w:val="clear"/>
            <w:vAlign w:val="center"/>
          </w:tcPr>
          <w:p>
            <w:pPr>
              <w:pStyle w:val="TableContents"/>
              <w:bidi w:val="0"/>
              <w:spacing w:before="0" w:after="283"/>
              <w:jc w:val="left"/>
              <w:rPr/>
            </w:pPr>
            <w:r>
              <w:rPr/>
              <w:t>Unbilled cost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4,045,974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3,533,431</w:t>
            </w:r>
          </w:p>
        </w:tc>
        <w:tc>
          <w:tcPr>
            <w:tcW w:w="110" w:type="dxa"/>
            <w:tcBorders/>
            <w:shd w:fill="FFFFFF" w:val="clear"/>
            <w:vAlign w:val="center"/>
          </w:tcPr>
          <w:p>
            <w:pPr>
              <w:pStyle w:val="TableContents"/>
              <w:bidi w:val="0"/>
              <w:spacing w:before="0" w:after="283"/>
              <w:jc w:val="left"/>
              <w:rPr/>
            </w:pPr>
            <w:r>
              <w:rPr/>
              <w:t> </w:t>
            </w:r>
            <w:bookmarkStart w:id="1115" w:name="xdx_400_eus-gaap--DeferredTaxAssetsOpera"/>
            <w:bookmarkEnd w:id="1115"/>
          </w:p>
        </w:tc>
      </w:tr>
      <w:tr>
        <w:trPr/>
        <w:tc>
          <w:tcPr>
            <w:tcW w:w="3590" w:type="dxa"/>
            <w:tcBorders/>
            <w:shd w:fill="CCEEFF" w:val="clear"/>
            <w:vAlign w:val="center"/>
          </w:tcPr>
          <w:p>
            <w:pPr>
              <w:pStyle w:val="TableContents"/>
              <w:bidi w:val="0"/>
              <w:spacing w:before="0" w:after="283"/>
              <w:jc w:val="left"/>
              <w:rPr/>
            </w:pPr>
            <w:r>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408,789</w:t>
            </w:r>
          </w:p>
        </w:tc>
        <w:tc>
          <w:tcPr>
            <w:tcW w:w="110" w:type="dxa"/>
            <w:tcBorders/>
            <w:shd w:fill="CCEEFF" w:val="clear"/>
            <w:vAlign w:val="center"/>
          </w:tcPr>
          <w:p>
            <w:pPr>
              <w:pStyle w:val="TableContents"/>
              <w:bidi w:val="0"/>
              <w:spacing w:before="0" w:after="283"/>
              <w:jc w:val="left"/>
              <w:rPr/>
            </w:pPr>
            <w:r>
              <w:rPr/>
              <w:t> </w:t>
            </w:r>
            <w:bookmarkStart w:id="1116" w:name="xdx_40A_eus-gaap--DeferredTaxAssetsGross"/>
            <w:bookmarkEnd w:id="1116"/>
          </w:p>
        </w:tc>
      </w:tr>
      <w:tr>
        <w:trPr/>
        <w:tc>
          <w:tcPr>
            <w:tcW w:w="3590"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6,589,094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5,171,231</w:t>
            </w:r>
          </w:p>
        </w:tc>
        <w:tc>
          <w:tcPr>
            <w:tcW w:w="110" w:type="dxa"/>
            <w:tcBorders/>
            <w:shd w:fill="FFFFFF" w:val="clear"/>
            <w:vAlign w:val="center"/>
          </w:tcPr>
          <w:p>
            <w:pPr>
              <w:pStyle w:val="TableContents"/>
              <w:bidi w:val="0"/>
              <w:spacing w:before="0" w:after="283"/>
              <w:jc w:val="left"/>
              <w:rPr/>
            </w:pPr>
            <w:r>
              <w:rPr/>
              <w:t> </w:t>
            </w:r>
            <w:bookmarkStart w:id="1117" w:name="xdx_401_eus-gaap--DeferredTaxAssetsValua"/>
            <w:bookmarkEnd w:id="1117"/>
          </w:p>
        </w:tc>
      </w:tr>
      <w:tr>
        <w:trPr/>
        <w:tc>
          <w:tcPr>
            <w:tcW w:w="3590" w:type="dxa"/>
            <w:tcBorders/>
            <w:shd w:fill="CCEEFF" w:val="clear"/>
            <w:vAlign w:val="center"/>
          </w:tcPr>
          <w:p>
            <w:pPr>
              <w:pStyle w:val="TableContents"/>
              <w:bidi w:val="0"/>
              <w:spacing w:before="0" w:after="283"/>
              <w:jc w:val="left"/>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(1,017,594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18" w:name="xdx_404_eus-gaap--DeferredTaxAssetsNet_i"/>
            <w:bookmarkEnd w:id="1118"/>
          </w:p>
        </w:tc>
      </w:tr>
      <w:tr>
        <w:trPr/>
        <w:tc>
          <w:tcPr>
            <w:tcW w:w="3590" w:type="dxa"/>
            <w:tcBorders/>
            <w:shd w:fill="FFFFFF" w:val="clear"/>
            <w:vAlign w:val="center"/>
          </w:tcPr>
          <w:p>
            <w:pPr>
              <w:pStyle w:val="TableContents"/>
              <w:bidi w:val="0"/>
              <w:spacing w:before="0" w:after="283"/>
              <w:jc w:val="left"/>
              <w:rPr>
                <w:b/>
              </w:rPr>
            </w:pPr>
            <w:r>
              <w:rPr>
                <w:b/>
              </w:rPr>
              <w:t>Deferred tax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pPr>
            <w:r>
              <w:rPr/>
              <w:t>5,571,500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pPr>
            <w:r>
              <w:rPr/>
              <w:t>5,171,231</w:t>
            </w:r>
          </w:p>
        </w:tc>
        <w:tc>
          <w:tcPr>
            <w:tcW w:w="110" w:type="dxa"/>
            <w:tcBorders/>
            <w:shd w:fill="FFFFFF" w:val="clear"/>
            <w:vAlign w:val="center"/>
          </w:tcPr>
          <w:p>
            <w:pPr>
              <w:pStyle w:val="TableContents"/>
              <w:bidi w:val="0"/>
              <w:spacing w:before="0" w:after="283"/>
              <w:jc w:val="left"/>
              <w:rPr/>
            </w:pPr>
            <w:r>
              <w:rPr/>
              <w:t> </w:t>
            </w:r>
            <w:bookmarkStart w:id="1119" w:name="xdx_408_eus-gaap--DeferredTaxLiabilities"/>
            <w:bookmarkEnd w:id="1119"/>
          </w:p>
        </w:tc>
      </w:tr>
      <w:tr>
        <w:trPr/>
        <w:tc>
          <w:tcPr>
            <w:tcW w:w="3590" w:type="dxa"/>
            <w:tcBorders/>
            <w:shd w:fill="CCEEFF" w:val="clear"/>
            <w:vAlign w:val="center"/>
          </w:tcPr>
          <w:p>
            <w:pPr>
              <w:pStyle w:val="TableContents"/>
              <w:bidi w:val="0"/>
              <w:spacing w:before="0" w:after="283"/>
              <w:jc w:val="left"/>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0" w:name="xdx_400_ecustom--DeferredTaxLiabilityUnb"/>
            <w:bookmarkEnd w:id="1120"/>
          </w:p>
        </w:tc>
      </w:tr>
      <w:tr>
        <w:trPr/>
        <w:tc>
          <w:tcPr>
            <w:tcW w:w="3590" w:type="dxa"/>
            <w:tcBorders/>
            <w:shd w:fill="FFFFFF" w:val="clear"/>
            <w:vAlign w:val="center"/>
          </w:tcPr>
          <w:p>
            <w:pPr>
              <w:pStyle w:val="TableContents"/>
              <w:bidi w:val="0"/>
              <w:spacing w:before="0" w:after="283"/>
              <w:jc w:val="left"/>
              <w:rPr/>
            </w:pPr>
            <w:r>
              <w:rPr/>
              <w:t>Unbilled revenue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(4,692,113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(4,350,674</w:t>
            </w:r>
          </w:p>
        </w:tc>
        <w:tc>
          <w:tcPr>
            <w:tcW w:w="110" w:type="dxa"/>
            <w:tcBorders/>
            <w:shd w:fill="FFFFFF" w:val="clear"/>
            <w:vAlign w:val="center"/>
          </w:tcPr>
          <w:p>
            <w:pPr>
              <w:pStyle w:val="TableContents"/>
              <w:bidi w:val="0"/>
              <w:spacing w:before="0" w:after="283"/>
              <w:jc w:val="left"/>
              <w:rPr/>
            </w:pPr>
            <w:r>
              <w:rPr/>
              <w:t>)</w:t>
            </w:r>
            <w:bookmarkStart w:id="1121" w:name="xdx_40E_eus-gaap--DeferredTaxLiabilities"/>
            <w:bookmarkEnd w:id="1121"/>
          </w:p>
        </w:tc>
      </w:tr>
      <w:tr>
        <w:trPr/>
        <w:tc>
          <w:tcPr>
            <w:tcW w:w="35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(110,478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(218,299</w:t>
            </w:r>
          </w:p>
        </w:tc>
        <w:tc>
          <w:tcPr>
            <w:tcW w:w="110" w:type="dxa"/>
            <w:tcBorders/>
            <w:shd w:fill="CCEEFF" w:val="clear"/>
            <w:vAlign w:val="center"/>
          </w:tcPr>
          <w:p>
            <w:pPr>
              <w:pStyle w:val="TableContents"/>
              <w:bidi w:val="0"/>
              <w:spacing w:before="0" w:after="283"/>
              <w:jc w:val="left"/>
              <w:rPr/>
            </w:pPr>
            <w:r>
              <w:rPr/>
              <w:t>)</w:t>
            </w:r>
            <w:bookmarkStart w:id="1122" w:name="xdx_400_eus-gaap--DeferredIncomeTaxLiabi"/>
            <w:bookmarkEnd w:id="1122"/>
          </w:p>
        </w:tc>
      </w:tr>
      <w:tr>
        <w:trPr/>
        <w:tc>
          <w:tcPr>
            <w:tcW w:w="3590" w:type="dxa"/>
            <w:tcBorders/>
            <w:shd w:fill="FFFFFF" w:val="clear"/>
            <w:vAlign w:val="center"/>
          </w:tcPr>
          <w:p>
            <w:pPr>
              <w:pStyle w:val="TableContents"/>
              <w:bidi w:val="0"/>
              <w:spacing w:before="0" w:after="283"/>
              <w:jc w:val="left"/>
              <w:rPr/>
            </w:pPr>
            <w:r>
              <w:rPr/>
              <w:t>Total deferred tax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(4,802,591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(4,568,973</w:t>
            </w:r>
          </w:p>
        </w:tc>
        <w:tc>
          <w:tcPr>
            <w:tcW w:w="110" w:type="dxa"/>
            <w:tcBorders/>
            <w:shd w:fill="FFFFFF" w:val="clear"/>
            <w:vAlign w:val="center"/>
          </w:tcPr>
          <w:p>
            <w:pPr>
              <w:pStyle w:val="TableContents"/>
              <w:bidi w:val="0"/>
              <w:spacing w:before="0" w:after="283"/>
              <w:jc w:val="left"/>
              <w:rPr/>
            </w:pPr>
            <w:r>
              <w:rPr/>
              <w:t>)</w:t>
            </w:r>
          </w:p>
        </w:tc>
      </w:tr>
      <w:tr>
        <w:trPr/>
        <w:tc>
          <w:tcPr>
            <w:tcW w:w="3590" w:type="dxa"/>
            <w:tcBorders/>
            <w:shd w:fill="CCEEFF" w:val="clear"/>
            <w:vAlign w:val="center"/>
          </w:tcPr>
          <w:p>
            <w:pPr>
              <w:pStyle w:val="TableContents"/>
              <w:bidi w:val="0"/>
              <w:spacing w:before="0" w:after="283"/>
              <w:jc w:val="left"/>
              <w:rPr>
                <w:b/>
              </w:rPr>
            </w:pPr>
            <w:r>
              <w:rPr>
                <w:b/>
              </w:rPr>
              <w:t>Net deferred tax assets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1123" w:name="xdx_981_eus-gaap--DeferredTaxLiabilities"/>
            <w:bookmarkEnd w:id="1123"/>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768,909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bookmarkStart w:id="1124" w:name="xdx_987_eus-gaap--DeferredTaxLiabilities"/>
            <w:bookmarkEnd w:id="1124"/>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602,258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25" w:name="xdx_8A2_z9hMgM3WycV3"/>
      <w:bookmarkEnd w:id="112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26" w:name="xdx_894_ecustom--ScheduleOfTaxesPayableT"/>
      <w:bookmarkEnd w:id="1126"/>
      <w:r>
        <w:rPr>
          <w:rFonts w:ascii="Times New Roman;Times;Serif" w:hAnsi="Times New Roman;Times;Serif"/>
          <w:b w:val="false"/>
          <w:i w:val="false"/>
          <w:caps w:val="false"/>
          <w:smallCaps w:val="false"/>
          <w:sz w:val="20"/>
        </w:rPr>
        <w:t>Taxes payable consisted of the following:</w:t>
      </w:r>
    </w:p>
    <w:p>
      <w:pPr>
        <w:pStyle w:val="TextBody"/>
        <w:bidi w:val="0"/>
        <w:spacing w:before="0" w:after="0"/>
        <w:ind w:left="0" w:right="0" w:hanging="0"/>
        <w:jc w:val="both"/>
        <w:rPr>
          <w:caps w:val="false"/>
          <w:smallCaps w:val="false"/>
        </w:rPr>
      </w:pPr>
      <w:r>
        <w:rPr>
          <w:caps w:val="false"/>
          <w:smallCaps w:val="false"/>
        </w:rPr>
        <w:t> </w:t>
      </w:r>
      <w:bookmarkStart w:id="1127" w:name="xdx_8BD_zOM90UDFVoHa"/>
      <w:bookmarkEnd w:id="1127"/>
      <w:r>
        <w:rPr>
          <w:rFonts w:ascii="Times New Roman;Times;Serif" w:hAnsi="Times New Roman;Times;Serif"/>
          <w:b w:val="false"/>
          <w:i w:val="false"/>
          <w:caps w:val="false"/>
          <w:smallCaps w:val="false"/>
          <w:sz w:val="20"/>
        </w:rPr>
        <w:t>SCHEDULE OF TAXES PAYABLE</w:t>
      </w:r>
    </w:p>
    <w:tbl>
      <w:tblPr>
        <w:tblW w:w="4798" w:type="dxa"/>
        <w:jc w:val="left"/>
        <w:tblInd w:w="0" w:type="dxa"/>
        <w:tblLayout w:type="fixed"/>
        <w:tblCellMar>
          <w:top w:w="0" w:type="dxa"/>
          <w:left w:w="0" w:type="dxa"/>
          <w:bottom w:w="0" w:type="dxa"/>
          <w:right w:w="0" w:type="dxa"/>
        </w:tblCellMar>
      </w:tblPr>
      <w:tblGrid>
        <w:gridCol w:w="2075"/>
        <w:gridCol w:w="60"/>
        <w:gridCol w:w="155"/>
        <w:gridCol w:w="1094"/>
        <w:gridCol w:w="60"/>
        <w:gridCol w:w="60"/>
        <w:gridCol w:w="152"/>
        <w:gridCol w:w="1067"/>
        <w:gridCol w:w="75"/>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8" w:name="xdx_492_20260331_zk1vQbUBXfck"/>
            <w:bookmarkEnd w:id="1128"/>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29" w:name="xdx_49C_20250930_zoChOj9XK3u9"/>
            <w:bookmarkEnd w:id="1129"/>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1130" w:name="xdx_40D_ecustom--ValueAddedTaxesPayableC"/>
            <w:bookmarkEnd w:id="1130"/>
          </w:p>
        </w:tc>
      </w:tr>
      <w:tr>
        <w:trPr/>
        <w:tc>
          <w:tcPr>
            <w:tcW w:w="2075" w:type="dxa"/>
            <w:tcBorders/>
            <w:shd w:fill="CCEEFF" w:val="clear"/>
            <w:vAlign w:val="center"/>
          </w:tcPr>
          <w:p>
            <w:pPr>
              <w:pStyle w:val="TableContents"/>
              <w:bidi w:val="0"/>
              <w:spacing w:before="0" w:after="283"/>
              <w:jc w:val="left"/>
              <w:rPr/>
            </w:pPr>
            <w:r>
              <w:rPr/>
              <w:t>VAT payable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1,629,024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857,680</w:t>
            </w:r>
          </w:p>
        </w:tc>
        <w:tc>
          <w:tcPr>
            <w:tcW w:w="75" w:type="dxa"/>
            <w:tcBorders/>
            <w:shd w:fill="CCEEFF" w:val="clear"/>
            <w:vAlign w:val="center"/>
          </w:tcPr>
          <w:p>
            <w:pPr>
              <w:pStyle w:val="TableContents"/>
              <w:bidi w:val="0"/>
              <w:spacing w:before="0" w:after="283"/>
              <w:jc w:val="left"/>
              <w:rPr/>
            </w:pPr>
            <w:r>
              <w:rPr/>
              <w:t> </w:t>
            </w:r>
            <w:bookmarkStart w:id="1131" w:name="xdx_401_ecustom--IncomeTaxesPayable_iI_m"/>
            <w:bookmarkEnd w:id="1131"/>
          </w:p>
        </w:tc>
      </w:tr>
      <w:tr>
        <w:trPr/>
        <w:tc>
          <w:tcPr>
            <w:tcW w:w="2075" w:type="dxa"/>
            <w:tcBorders/>
            <w:shd w:fill="FFFFFF" w:val="clear"/>
            <w:vAlign w:val="center"/>
          </w:tcPr>
          <w:p>
            <w:pPr>
              <w:pStyle w:val="TableContents"/>
              <w:bidi w:val="0"/>
              <w:spacing w:before="0" w:after="283"/>
              <w:jc w:val="left"/>
              <w:rPr/>
            </w:pPr>
            <w:r>
              <w:rPr/>
              <w:t>Income taxes payable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2,990,430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067" w:type="dxa"/>
            <w:tcBorders/>
            <w:shd w:fill="FFFFFF" w:val="clear"/>
            <w:vAlign w:val="center"/>
          </w:tcPr>
          <w:p>
            <w:pPr>
              <w:pStyle w:val="TableContents"/>
              <w:bidi w:val="0"/>
              <w:spacing w:before="0" w:after="283"/>
              <w:jc w:val="right"/>
              <w:rPr/>
            </w:pPr>
            <w:r>
              <w:rPr/>
              <w:t>2,915,661</w:t>
            </w:r>
          </w:p>
        </w:tc>
        <w:tc>
          <w:tcPr>
            <w:tcW w:w="75" w:type="dxa"/>
            <w:tcBorders/>
            <w:shd w:fill="FFFFFF" w:val="clear"/>
            <w:vAlign w:val="center"/>
          </w:tcPr>
          <w:p>
            <w:pPr>
              <w:pStyle w:val="TableContents"/>
              <w:bidi w:val="0"/>
              <w:spacing w:before="0" w:after="283"/>
              <w:jc w:val="left"/>
              <w:rPr/>
            </w:pPr>
            <w:r>
              <w:rPr/>
              <w:t> </w:t>
            </w:r>
            <w:bookmarkStart w:id="1132" w:name="xdx_400_ecustom--OtherTaxesPayableCurren"/>
            <w:bookmarkEnd w:id="1132"/>
          </w:p>
        </w:tc>
      </w:tr>
      <w:tr>
        <w:trPr/>
        <w:tc>
          <w:tcPr>
            <w:tcW w:w="207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9,484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283"/>
              <w:jc w:val="right"/>
              <w:rPr/>
            </w:pPr>
            <w:r>
              <w:rPr/>
              <w:t>8,397</w:t>
            </w:r>
          </w:p>
        </w:tc>
        <w:tc>
          <w:tcPr>
            <w:tcW w:w="75" w:type="dxa"/>
            <w:tcBorders/>
            <w:shd w:fill="CCEEFF" w:val="clear"/>
            <w:vAlign w:val="center"/>
          </w:tcPr>
          <w:p>
            <w:pPr>
              <w:pStyle w:val="TableContents"/>
              <w:bidi w:val="0"/>
              <w:spacing w:before="0" w:after="283"/>
              <w:jc w:val="left"/>
              <w:rPr/>
            </w:pPr>
            <w:r>
              <w:rPr/>
              <w:t> </w:t>
            </w:r>
            <w:bookmarkStart w:id="1133" w:name="xdx_40B_eus-gaap--TaxesPayableCurrent_iT"/>
            <w:bookmarkEnd w:id="1133"/>
          </w:p>
        </w:tc>
      </w:tr>
      <w:tr>
        <w:trPr/>
        <w:tc>
          <w:tcPr>
            <w:tcW w:w="207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4,628,938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6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3,781,738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34" w:name="xdx_8A4_zWwIhaKwKwob"/>
      <w:bookmarkEnd w:id="113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uncertain tax positions as of March 31, 2026 and September 30, 2025 and management does not anticipate any potential future adjustments which would result in a material change to its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35" w:name="xdx_800_eus-gaap--CommitmentsAndContinge"/>
      <w:bookmarkEnd w:id="1135"/>
      <w:r>
        <w:rPr>
          <w:rFonts w:ascii="Times New Roman;Times;Serif" w:hAnsi="Times New Roman;Times;Serif"/>
          <w:b/>
          <w:i w:val="false"/>
          <w:caps w:val="false"/>
          <w:smallCaps w:val="false"/>
          <w:sz w:val="20"/>
        </w:rPr>
        <w:t xml:space="preserve">NOTE 19 – </w:t>
      </w:r>
      <w:bookmarkStart w:id="1136" w:name="xdx_82B_zd3cG1V6fGy8"/>
      <w:bookmarkEnd w:id="113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legal proceedings, claims and disputes that arise in the ordinary course of business. Amounts accrued, as well as the total amount of possible losses with respect to such matters, individually and in the aggregate, are not deemed to be material to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37" w:name="xdx_80A_eus-gaap--SegmentReportingDisclo"/>
      <w:bookmarkEnd w:id="1137"/>
      <w:r>
        <w:rPr>
          <w:rFonts w:ascii="Times New Roman;Times;Serif" w:hAnsi="Times New Roman;Times;Serif"/>
          <w:b/>
          <w:i w:val="false"/>
          <w:caps w:val="false"/>
          <w:smallCaps w:val="false"/>
          <w:sz w:val="20"/>
        </w:rPr>
        <w:t xml:space="preserve">NOTE 20 – </w:t>
      </w:r>
      <w:bookmarkStart w:id="1138" w:name="xdx_821_z5rmfHgS2O72"/>
      <w:bookmarkEnd w:id="1138"/>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guidance of ASC 280, “Segment Reporting,” which establishes standards for reporting information about operating segments on a basis consistent with the Company’s internal organizational structure. The Company uses the management approach to determine reportable operating segments. The Company has determined that it has </w:t>
      </w:r>
      <w:bookmarkStart w:id="1139" w:name="xdx_907_eus-gaap--NumberOfReportableSegm"/>
      <w:bookmarkEnd w:id="1139"/>
      <w:r>
        <w:rPr>
          <w:rFonts w:ascii="Times New Roman;Times;Serif" w:hAnsi="Times New Roman;Times;Serif"/>
          <w:b w:val="false"/>
          <w:i w:val="false"/>
          <w:caps w:val="false"/>
          <w:smallCaps w:val="false"/>
          <w:sz w:val="20"/>
        </w:rPr>
        <w:t>four reportable operating segments: (i) clean-energy equipment; (ii) digitalization and integration equipment; (iii) new energy; and (iv) oil and gas engineering technical services. These segments are organized based on the nature of products and services offered and the way they are managed. The Company currently sells its products primarily within China, consequently no segment information based on geography is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Operating Decision Maker (“CODM”)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(“CEO”) has been identified as the CODM. The CEO reviews segment operating results, including segment revenues, total cost of revenues and gross profit on a quarterly and annual basis to evaluate the performance of each operating segment and make decisions about the allocation of resources to individual segments. The CODM uses gross profit as the primary measure of segment profit or loss for all four reportable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Expense Categories Reviewed by the CODM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reportable segment, on a quarterly basis, the CODM reviews the main reasons for period-to-period (and actual vs. prior) fluctuations in total cost of revenues and evaluates their impact on 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does not allocate any of the following corporate expenses: selling and marketing expenses, general and administrative expenses, provision for expected credit losses, research and development expenses, interest expense, and income taxes in his evaluation of the quarterly and annual segment operating results as such expenses are managed and reviewed at the consolidated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0" w:name="xdx_89F_eus-gaap--ScheduleOfSegmentRepor"/>
      <w:bookmarkEnd w:id="1140"/>
      <w:r>
        <w:rPr>
          <w:rFonts w:ascii="Times New Roman;Times;Serif" w:hAnsi="Times New Roman;Times;Serif"/>
          <w:b w:val="false"/>
          <w:i w:val="false"/>
          <w:caps w:val="false"/>
          <w:smallCaps w:val="false"/>
          <w:sz w:val="20"/>
        </w:rPr>
        <w:t>The tables below summarize the Company’s segment operating results for the six months ended March 31, 2026 and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1" w:name="xdx_8B9_zWVrNWLkr9zb"/>
      <w:bookmarkEnd w:id="1141"/>
      <w:r>
        <w:rPr>
          <w:rFonts w:ascii="Times New Roman;Times;Serif" w:hAnsi="Times New Roman;Times;Serif"/>
          <w:b w:val="false"/>
          <w:i w:val="false"/>
          <w:caps w:val="false"/>
          <w:smallCaps w:val="false"/>
          <w:sz w:val="20"/>
        </w:rPr>
        <w:t>SCHEDULE OF OPERATING SEGMENT INFORMATION </w:t>
      </w:r>
    </w:p>
    <w:tbl>
      <w:tblPr>
        <w:tblW w:w="9161" w:type="dxa"/>
        <w:jc w:val="left"/>
        <w:tblInd w:w="0" w:type="dxa"/>
        <w:tblLayout w:type="fixed"/>
        <w:tblCellMar>
          <w:top w:w="0" w:type="dxa"/>
          <w:left w:w="0" w:type="dxa"/>
          <w:bottom w:w="0" w:type="dxa"/>
          <w:right w:w="0" w:type="dxa"/>
        </w:tblCellMar>
      </w:tblPr>
      <w:tblGrid>
        <w:gridCol w:w="1625"/>
        <w:gridCol w:w="60"/>
        <w:gridCol w:w="156"/>
        <w:gridCol w:w="1229"/>
        <w:gridCol w:w="60"/>
        <w:gridCol w:w="60"/>
        <w:gridCol w:w="197"/>
        <w:gridCol w:w="1382"/>
        <w:gridCol w:w="60"/>
        <w:gridCol w:w="60"/>
        <w:gridCol w:w="180"/>
        <w:gridCol w:w="1264"/>
        <w:gridCol w:w="60"/>
        <w:gridCol w:w="60"/>
        <w:gridCol w:w="157"/>
        <w:gridCol w:w="1107"/>
        <w:gridCol w:w="60"/>
        <w:gridCol w:w="60"/>
        <w:gridCol w:w="141"/>
        <w:gridCol w:w="1108"/>
        <w:gridCol w:w="75"/>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2" w:name="xdx_498_20251001__20260331__us-gaap--Sta"/>
            <w:bookmarkEnd w:id="1142"/>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3" w:name="xdx_496_20251001__20260331__us-gaap--Sta"/>
            <w:bookmarkEnd w:id="1143"/>
          </w:p>
        </w:tc>
        <w:tc>
          <w:tcPr>
            <w:tcW w:w="157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4" w:name="xdx_492_20251001__20260331__us-gaap--Sta"/>
            <w:bookmarkEnd w:id="1144"/>
          </w:p>
        </w:tc>
        <w:tc>
          <w:tcPr>
            <w:tcW w:w="144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5" w:name="xdx_49C_20251001__20260331__us-gaap--Sta"/>
            <w:bookmarkEnd w:id="1145"/>
          </w:p>
        </w:tc>
        <w:tc>
          <w:tcPr>
            <w:tcW w:w="126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6" w:name="xdx_49C_20251001__20260331_zG63P46bgjtd"/>
            <w:bookmarkEnd w:id="1146"/>
          </w:p>
        </w:tc>
        <w:tc>
          <w:tcPr>
            <w:tcW w:w="124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March 31, 2026</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Clean-energy</w:t>
              <w:br/>
              <w:t>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Digitalization </w:t>
              <w:br/>
              <w:t>and integration</w:t>
              <w:br/>
              <w:t>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New energy</w:t>
              <w:br/>
              <w:t xml:space="preserve">production </w:t>
              <w:br/>
              <w:t>and operation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Oil and gas</w:t>
              <w:br/>
              <w:t xml:space="preserve">engineering </w:t>
              <w:br/>
              <w:t>technical</w:t>
              <w:br/>
              <w:t>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1147" w:name="xdx_409_eus-gaap--RevenueFromContractWit"/>
            <w:bookmarkEnd w:id="1147"/>
          </w:p>
        </w:tc>
      </w:tr>
      <w:tr>
        <w:trPr/>
        <w:tc>
          <w:tcPr>
            <w:tcW w:w="162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10,412,332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2,226,141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6,454,584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1,885,371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20,978,428</w:t>
            </w:r>
          </w:p>
        </w:tc>
        <w:tc>
          <w:tcPr>
            <w:tcW w:w="75" w:type="dxa"/>
            <w:tcBorders/>
            <w:shd w:fill="CCEEFF" w:val="clear"/>
            <w:vAlign w:val="center"/>
          </w:tcPr>
          <w:p>
            <w:pPr>
              <w:pStyle w:val="TableContents"/>
              <w:bidi w:val="0"/>
              <w:spacing w:before="0" w:after="283"/>
              <w:jc w:val="left"/>
              <w:rPr/>
            </w:pPr>
            <w:r>
              <w:rPr/>
              <w:t> </w:t>
            </w:r>
            <w:bookmarkStart w:id="1148" w:name="xdx_404_eus-gaap--CostOfRevenue_zvBr9cN4"/>
            <w:bookmarkEnd w:id="1148"/>
          </w:p>
        </w:tc>
      </w:tr>
      <w:tr>
        <w:trPr/>
        <w:tc>
          <w:tcPr>
            <w:tcW w:w="162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6,842,781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2,064,862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6,276,614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pPr>
            <w:r>
              <w:rPr/>
              <w:t>569,343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15,753,600</w:t>
            </w:r>
          </w:p>
        </w:tc>
        <w:tc>
          <w:tcPr>
            <w:tcW w:w="75" w:type="dxa"/>
            <w:tcBorders/>
            <w:shd w:fill="FFFFFF" w:val="clear"/>
            <w:vAlign w:val="center"/>
          </w:tcPr>
          <w:p>
            <w:pPr>
              <w:pStyle w:val="TableContents"/>
              <w:bidi w:val="0"/>
              <w:spacing w:before="0" w:after="283"/>
              <w:jc w:val="left"/>
              <w:rPr/>
            </w:pPr>
            <w:r>
              <w:rPr/>
              <w:t> </w:t>
            </w:r>
            <w:bookmarkStart w:id="1149" w:name="xdx_40F_eus-gaap--GrossProfit_z9Lmqj8RIK"/>
            <w:bookmarkEnd w:id="1149"/>
          </w:p>
        </w:tc>
      </w:tr>
      <w:tr>
        <w:trPr/>
        <w:tc>
          <w:tcPr>
            <w:tcW w:w="162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3,569,551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2" w:type="dxa"/>
            <w:tcBorders>
              <w:bottom w:val="double" w:sz="6" w:space="0" w:color="000000"/>
            </w:tcBorders>
            <w:shd w:fill="CCEEFF" w:val="clear"/>
            <w:tcMar>
              <w:bottom w:w="28" w:type="dxa"/>
            </w:tcMar>
            <w:vAlign w:val="center"/>
          </w:tcPr>
          <w:p>
            <w:pPr>
              <w:pStyle w:val="TableContents"/>
              <w:bidi w:val="0"/>
              <w:spacing w:before="0" w:after="283"/>
              <w:jc w:val="right"/>
              <w:rPr/>
            </w:pPr>
            <w:r>
              <w:rPr/>
              <w:t>161,279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4" w:type="dxa"/>
            <w:tcBorders>
              <w:bottom w:val="double" w:sz="6" w:space="0" w:color="000000"/>
            </w:tcBorders>
            <w:shd w:fill="CCEEFF" w:val="clear"/>
            <w:tcMar>
              <w:bottom w:w="28" w:type="dxa"/>
            </w:tcMar>
            <w:vAlign w:val="center"/>
          </w:tcPr>
          <w:p>
            <w:pPr>
              <w:pStyle w:val="TableContents"/>
              <w:bidi w:val="0"/>
              <w:spacing w:before="0" w:after="283"/>
              <w:jc w:val="right"/>
              <w:rPr/>
            </w:pPr>
            <w:r>
              <w:rPr/>
              <w:t>177,970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pPr>
            <w:r>
              <w:rPr/>
              <w:t>1,316,028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5,224,828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161" w:type="dxa"/>
        <w:jc w:val="left"/>
        <w:tblInd w:w="0" w:type="dxa"/>
        <w:tblLayout w:type="fixed"/>
        <w:tblCellMar>
          <w:top w:w="0" w:type="dxa"/>
          <w:left w:w="0" w:type="dxa"/>
          <w:bottom w:w="0" w:type="dxa"/>
          <w:right w:w="0" w:type="dxa"/>
        </w:tblCellMar>
      </w:tblPr>
      <w:tblGrid>
        <w:gridCol w:w="1625"/>
        <w:gridCol w:w="60"/>
        <w:gridCol w:w="156"/>
        <w:gridCol w:w="1229"/>
        <w:gridCol w:w="60"/>
        <w:gridCol w:w="60"/>
        <w:gridCol w:w="197"/>
        <w:gridCol w:w="1382"/>
        <w:gridCol w:w="60"/>
        <w:gridCol w:w="60"/>
        <w:gridCol w:w="163"/>
        <w:gridCol w:w="1281"/>
        <w:gridCol w:w="60"/>
        <w:gridCol w:w="60"/>
        <w:gridCol w:w="157"/>
        <w:gridCol w:w="1107"/>
        <w:gridCol w:w="60"/>
        <w:gridCol w:w="60"/>
        <w:gridCol w:w="141"/>
        <w:gridCol w:w="1108"/>
        <w:gridCol w:w="75"/>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0" w:name="xdx_49A_20241001__20250331__us-gaap--Sta"/>
            <w:bookmarkEnd w:id="1150"/>
          </w:p>
        </w:tc>
        <w:tc>
          <w:tcPr>
            <w:tcW w:w="138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1" w:name="xdx_496_20241001__20250331__us-gaap--Sta"/>
            <w:bookmarkEnd w:id="1151"/>
          </w:p>
        </w:tc>
        <w:tc>
          <w:tcPr>
            <w:tcW w:w="157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2" w:name="xdx_490_20241001__20250331__us-gaap--Sta"/>
            <w:bookmarkEnd w:id="1152"/>
          </w:p>
        </w:tc>
        <w:tc>
          <w:tcPr>
            <w:tcW w:w="144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3" w:name="xdx_493_20241001__20250331__us-gaap--Sta"/>
            <w:bookmarkEnd w:id="1153"/>
          </w:p>
        </w:tc>
        <w:tc>
          <w:tcPr>
            <w:tcW w:w="126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4" w:name="xdx_49B_20241001__20250331_zWnyxGCrJGPi"/>
            <w:bookmarkEnd w:id="1154"/>
          </w:p>
        </w:tc>
        <w:tc>
          <w:tcPr>
            <w:tcW w:w="1249"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Six Months Ended March 31, 2025</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Clean-energy</w:t>
              <w:br/>
              <w:t>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Digitalization </w:t>
              <w:br/>
              <w:t>and integration</w:t>
              <w:br/>
              <w:t>equipment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New energy </w:t>
              <w:br/>
              <w:t xml:space="preserve">production </w:t>
              <w:br/>
              <w:t>and operation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Oil and gas</w:t>
              <w:br/>
              <w:t xml:space="preserve">engineering </w:t>
              <w:br/>
              <w:t>technical</w:t>
              <w:br/>
              <w:t>services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bookmarkStart w:id="1155" w:name="xdx_409_eus-gaap--RevenueFromContractWit"/>
            <w:bookmarkEnd w:id="1155"/>
          </w:p>
        </w:tc>
      </w:tr>
      <w:tr>
        <w:trPr/>
        <w:tc>
          <w:tcPr>
            <w:tcW w:w="162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229" w:type="dxa"/>
            <w:tcBorders/>
            <w:shd w:fill="CCEEFF" w:val="clear"/>
            <w:vAlign w:val="center"/>
          </w:tcPr>
          <w:p>
            <w:pPr>
              <w:pStyle w:val="TableContents"/>
              <w:bidi w:val="0"/>
              <w:spacing w:before="0" w:after="283"/>
              <w:jc w:val="right"/>
              <w:rPr/>
            </w:pPr>
            <w:r>
              <w:rPr/>
              <w:t>13,196,043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382" w:type="dxa"/>
            <w:tcBorders/>
            <w:shd w:fill="CCEEFF" w:val="clear"/>
            <w:vAlign w:val="center"/>
          </w:tcPr>
          <w:p>
            <w:pPr>
              <w:pStyle w:val="TableContents"/>
              <w:bidi w:val="0"/>
              <w:spacing w:before="0" w:after="283"/>
              <w:jc w:val="right"/>
              <w:rPr/>
            </w:pPr>
            <w:r>
              <w:rPr/>
              <w:t>2,629,399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10,337,148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1107" w:type="dxa"/>
            <w:tcBorders/>
            <w:shd w:fill="CCEEFF" w:val="clear"/>
            <w:vAlign w:val="center"/>
          </w:tcPr>
          <w:p>
            <w:pPr>
              <w:pStyle w:val="TableContents"/>
              <w:bidi w:val="0"/>
              <w:spacing w:before="0" w:after="283"/>
              <w:jc w:val="right"/>
              <w:rPr/>
            </w:pPr>
            <w:r>
              <w:rPr/>
              <w:t>2,032,694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28,195,284</w:t>
            </w:r>
          </w:p>
        </w:tc>
        <w:tc>
          <w:tcPr>
            <w:tcW w:w="75" w:type="dxa"/>
            <w:tcBorders/>
            <w:shd w:fill="CCEEFF" w:val="clear"/>
            <w:vAlign w:val="center"/>
          </w:tcPr>
          <w:p>
            <w:pPr>
              <w:pStyle w:val="TableContents"/>
              <w:bidi w:val="0"/>
              <w:spacing w:before="0" w:after="283"/>
              <w:jc w:val="left"/>
              <w:rPr/>
            </w:pPr>
            <w:r>
              <w:rPr/>
              <w:t> </w:t>
            </w:r>
            <w:bookmarkStart w:id="1156" w:name="xdx_409_eus-gaap--CostOfRevenue_zCM1tZFg"/>
            <w:bookmarkEnd w:id="1156"/>
          </w:p>
        </w:tc>
      </w:tr>
      <w:tr>
        <w:trPr/>
        <w:tc>
          <w:tcPr>
            <w:tcW w:w="162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9" w:type="dxa"/>
            <w:tcBorders>
              <w:bottom w:val="single" w:sz="8" w:space="0" w:color="000000"/>
            </w:tcBorders>
            <w:shd w:fill="FFFFFF" w:val="clear"/>
            <w:tcMar>
              <w:bottom w:w="28" w:type="dxa"/>
            </w:tcMar>
            <w:vAlign w:val="center"/>
          </w:tcPr>
          <w:p>
            <w:pPr>
              <w:pStyle w:val="TableContents"/>
              <w:bidi w:val="0"/>
              <w:spacing w:before="0" w:after="283"/>
              <w:jc w:val="right"/>
              <w:rPr/>
            </w:pPr>
            <w:r>
              <w:rPr/>
              <w:t>10,528,452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2" w:type="dxa"/>
            <w:tcBorders>
              <w:bottom w:val="single" w:sz="8" w:space="0" w:color="000000"/>
            </w:tcBorders>
            <w:shd w:fill="FFFFFF" w:val="clear"/>
            <w:tcMar>
              <w:bottom w:w="28" w:type="dxa"/>
            </w:tcMar>
            <w:vAlign w:val="center"/>
          </w:tcPr>
          <w:p>
            <w:pPr>
              <w:pStyle w:val="TableContents"/>
              <w:bidi w:val="0"/>
              <w:spacing w:before="0" w:after="283"/>
              <w:jc w:val="right"/>
              <w:rPr/>
            </w:pPr>
            <w:r>
              <w:rPr/>
              <w:t>2,032,358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pPr>
            <w:r>
              <w:rPr/>
              <w:t>10,178,056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pPr>
            <w:r>
              <w:rPr/>
              <w:t>517,387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shd w:fill="FFFFFF" w:val="clear"/>
            <w:tcMar>
              <w:bottom w:w="28" w:type="dxa"/>
            </w:tcMar>
            <w:vAlign w:val="center"/>
          </w:tcPr>
          <w:p>
            <w:pPr>
              <w:pStyle w:val="TableContents"/>
              <w:bidi w:val="0"/>
              <w:spacing w:before="0" w:after="283"/>
              <w:jc w:val="right"/>
              <w:rPr/>
            </w:pPr>
            <w:r>
              <w:rPr/>
              <w:t>23,256,253</w:t>
            </w:r>
          </w:p>
        </w:tc>
        <w:tc>
          <w:tcPr>
            <w:tcW w:w="75" w:type="dxa"/>
            <w:tcBorders/>
            <w:shd w:fill="FFFFFF" w:val="clear"/>
            <w:vAlign w:val="center"/>
          </w:tcPr>
          <w:p>
            <w:pPr>
              <w:pStyle w:val="TableContents"/>
              <w:bidi w:val="0"/>
              <w:spacing w:before="0" w:after="283"/>
              <w:jc w:val="left"/>
              <w:rPr/>
            </w:pPr>
            <w:r>
              <w:rPr/>
              <w:t> </w:t>
            </w:r>
            <w:bookmarkStart w:id="1157" w:name="xdx_40F_eus-gaap--GrossProfit_zcCewryLFK"/>
            <w:bookmarkEnd w:id="1157"/>
          </w:p>
        </w:tc>
      </w:tr>
      <w:tr>
        <w:trPr/>
        <w:tc>
          <w:tcPr>
            <w:tcW w:w="162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9" w:type="dxa"/>
            <w:tcBorders>
              <w:bottom w:val="double" w:sz="6" w:space="0" w:color="000000"/>
            </w:tcBorders>
            <w:shd w:fill="CCEEFF" w:val="clear"/>
            <w:tcMar>
              <w:bottom w:w="28" w:type="dxa"/>
            </w:tcMar>
            <w:vAlign w:val="center"/>
          </w:tcPr>
          <w:p>
            <w:pPr>
              <w:pStyle w:val="TableContents"/>
              <w:bidi w:val="0"/>
              <w:spacing w:before="0" w:after="283"/>
              <w:jc w:val="right"/>
              <w:rPr/>
            </w:pPr>
            <w:r>
              <w:rPr/>
              <w:t>2,667,591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82" w:type="dxa"/>
            <w:tcBorders>
              <w:bottom w:val="double" w:sz="6" w:space="0" w:color="000000"/>
            </w:tcBorders>
            <w:shd w:fill="CCEEFF" w:val="clear"/>
            <w:tcMar>
              <w:bottom w:w="28" w:type="dxa"/>
            </w:tcMar>
            <w:vAlign w:val="center"/>
          </w:tcPr>
          <w:p>
            <w:pPr>
              <w:pStyle w:val="TableContents"/>
              <w:bidi w:val="0"/>
              <w:spacing w:before="0" w:after="283"/>
              <w:jc w:val="right"/>
              <w:rPr/>
            </w:pPr>
            <w:r>
              <w:rPr/>
              <w:t>597,041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6" w:space="0" w:color="000000"/>
            </w:tcBorders>
            <w:shd w:fill="CCEEFF" w:val="clear"/>
            <w:tcMar>
              <w:bottom w:w="28" w:type="dxa"/>
            </w:tcMar>
            <w:vAlign w:val="center"/>
          </w:tcPr>
          <w:p>
            <w:pPr>
              <w:pStyle w:val="TableContents"/>
              <w:bidi w:val="0"/>
              <w:spacing w:before="0" w:after="283"/>
              <w:jc w:val="right"/>
              <w:rPr/>
            </w:pPr>
            <w:r>
              <w:rPr/>
              <w:t>159,092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pPr>
            <w:r>
              <w:rPr/>
              <w:t>1,515,307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pPr>
            <w:r>
              <w:rPr/>
              <w:t>4,939,031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Segment Profit (Gross Profit) to Consolidated Income Before Income Taxes</w:t>
      </w:r>
    </w:p>
    <w:p>
      <w:pPr>
        <w:pStyle w:val="TextBody"/>
        <w:bidi w:val="0"/>
        <w:spacing w:before="0" w:after="0"/>
        <w:ind w:left="0" w:right="0" w:hanging="0"/>
        <w:jc w:val="both"/>
        <w:rPr>
          <w:caps w:val="false"/>
          <w:smallCaps w:val="false"/>
        </w:rPr>
      </w:pPr>
      <w:r>
        <w:rPr>
          <w:caps w:val="false"/>
          <w:smallCaps w:val="false"/>
        </w:rPr>
        <w:t> </w:t>
      </w:r>
    </w:p>
    <w:tbl>
      <w:tblPr>
        <w:tblW w:w="6687" w:type="dxa"/>
        <w:jc w:val="left"/>
        <w:tblInd w:w="0" w:type="dxa"/>
        <w:tblLayout w:type="fixed"/>
        <w:tblCellMar>
          <w:top w:w="0" w:type="dxa"/>
          <w:left w:w="0" w:type="dxa"/>
          <w:bottom w:w="0" w:type="dxa"/>
          <w:right w:w="0" w:type="dxa"/>
        </w:tblCellMar>
      </w:tblPr>
      <w:tblGrid>
        <w:gridCol w:w="3500"/>
        <w:gridCol w:w="60"/>
        <w:gridCol w:w="166"/>
        <w:gridCol w:w="1251"/>
        <w:gridCol w:w="112"/>
        <w:gridCol w:w="71"/>
        <w:gridCol w:w="166"/>
        <w:gridCol w:w="1251"/>
        <w:gridCol w:w="110"/>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8" w:name="xdx_495_20251001__20260331_zWEdcHIWSVLk"/>
            <w:bookmarkEnd w:id="1158"/>
          </w:p>
        </w:tc>
        <w:tc>
          <w:tcPr>
            <w:tcW w:w="14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1159" w:name="xdx_492_20241001__20250331_zx1H1VX9L8Aj"/>
            <w:bookmarkEnd w:id="1159"/>
          </w:p>
        </w:tc>
        <w:tc>
          <w:tcPr>
            <w:tcW w:w="14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7" w:type="dxa"/>
            <w:gridSpan w:val="6"/>
            <w:tcBorders/>
            <w:vAlign w:val="center"/>
          </w:tcPr>
          <w:p>
            <w:pPr>
              <w:pStyle w:val="TableContents"/>
              <w:bidi w:val="0"/>
              <w:spacing w:before="0" w:after="283"/>
              <w:jc w:val="center"/>
              <w:rPr>
                <w:b/>
              </w:rPr>
            </w:pPr>
            <w:r>
              <w:rPr>
                <w:b/>
              </w:rPr>
              <w:t>Six Months Ended March 31,</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center"/>
              <w:rPr>
                <w:b/>
              </w:rPr>
            </w:pPr>
            <w:r>
              <w:rPr>
                <w:b/>
              </w:rPr>
              <w:t>(Unaudited)</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17"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160" w:name="xdx_404_eus-gaap--GrossProfit_znW0fnISpt"/>
            <w:bookmarkEnd w:id="1160"/>
          </w:p>
        </w:tc>
      </w:tr>
      <w:tr>
        <w:trPr/>
        <w:tc>
          <w:tcPr>
            <w:tcW w:w="3500" w:type="dxa"/>
            <w:tcBorders/>
            <w:shd w:fill="CCEEFF" w:val="clear"/>
            <w:vAlign w:val="center"/>
          </w:tcPr>
          <w:p>
            <w:pPr>
              <w:pStyle w:val="TableContents"/>
              <w:bidi w:val="0"/>
              <w:spacing w:before="0" w:after="283"/>
              <w:jc w:val="left"/>
              <w:rPr/>
            </w:pPr>
            <w:r>
              <w:rPr/>
              <w:t>Total segment profit (gross profit)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5,224,828</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4,939,031</w:t>
            </w:r>
          </w:p>
        </w:tc>
        <w:tc>
          <w:tcPr>
            <w:tcW w:w="110"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Corporate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1" w:name="xdx_403_eus-gaap--SellingAndMarketingExp"/>
            <w:bookmarkEnd w:id="1161"/>
          </w:p>
        </w:tc>
      </w:tr>
      <w:tr>
        <w:trPr/>
        <w:tc>
          <w:tcPr>
            <w:tcW w:w="3500"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(1,535,890</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(635,306</w:t>
            </w:r>
          </w:p>
        </w:tc>
        <w:tc>
          <w:tcPr>
            <w:tcW w:w="110" w:type="dxa"/>
            <w:tcBorders/>
            <w:shd w:fill="CCEEFF" w:val="clear"/>
            <w:vAlign w:val="center"/>
          </w:tcPr>
          <w:p>
            <w:pPr>
              <w:pStyle w:val="TableContents"/>
              <w:bidi w:val="0"/>
              <w:spacing w:before="0" w:after="283"/>
              <w:jc w:val="left"/>
              <w:rPr/>
            </w:pPr>
            <w:r>
              <w:rPr/>
              <w:t>)</w:t>
            </w:r>
            <w:bookmarkStart w:id="1162" w:name="xdx_404_eus-gaap--GeneralAndAdministrati"/>
            <w:bookmarkEnd w:id="1162"/>
          </w:p>
        </w:tc>
      </w:tr>
      <w:tr>
        <w:trPr/>
        <w:tc>
          <w:tcPr>
            <w:tcW w:w="350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(2,133,900</w:t>
            </w:r>
          </w:p>
        </w:tc>
        <w:tc>
          <w:tcPr>
            <w:tcW w:w="112"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(3,045,282</w:t>
            </w:r>
          </w:p>
        </w:tc>
        <w:tc>
          <w:tcPr>
            <w:tcW w:w="110" w:type="dxa"/>
            <w:tcBorders/>
            <w:shd w:fill="FFFFFF" w:val="clear"/>
            <w:vAlign w:val="center"/>
          </w:tcPr>
          <w:p>
            <w:pPr>
              <w:pStyle w:val="TableContents"/>
              <w:bidi w:val="0"/>
              <w:spacing w:before="0" w:after="283"/>
              <w:jc w:val="left"/>
              <w:rPr/>
            </w:pPr>
            <w:r>
              <w:rPr/>
              <w:t>)</w:t>
            </w:r>
            <w:bookmarkStart w:id="1163" w:name="xdx_405_ecustom--ProvisionForExpectedCre"/>
            <w:bookmarkEnd w:id="1163"/>
          </w:p>
        </w:tc>
      </w:tr>
      <w:tr>
        <w:trPr/>
        <w:tc>
          <w:tcPr>
            <w:tcW w:w="3500" w:type="dxa"/>
            <w:tcBorders/>
            <w:shd w:fill="CCEEFF" w:val="clear"/>
            <w:vAlign w:val="center"/>
          </w:tcPr>
          <w:p>
            <w:pPr>
              <w:pStyle w:val="TableContents"/>
              <w:bidi w:val="0"/>
              <w:spacing w:before="0" w:after="283"/>
              <w:jc w:val="left"/>
              <w:rPr/>
            </w:pPr>
            <w:r>
              <w:rPr/>
              <w:t>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(2,145,919</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(3,317,683</w:t>
            </w:r>
          </w:p>
        </w:tc>
        <w:tc>
          <w:tcPr>
            <w:tcW w:w="110" w:type="dxa"/>
            <w:tcBorders/>
            <w:shd w:fill="CCEEFF" w:val="clear"/>
            <w:vAlign w:val="center"/>
          </w:tcPr>
          <w:p>
            <w:pPr>
              <w:pStyle w:val="TableContents"/>
              <w:bidi w:val="0"/>
              <w:spacing w:before="0" w:after="283"/>
              <w:jc w:val="left"/>
              <w:rPr/>
            </w:pPr>
            <w:r>
              <w:rPr/>
              <w:t>)</w:t>
            </w:r>
            <w:bookmarkStart w:id="1164" w:name="xdx_401_eus-gaap--ResearchAndDevelopment"/>
            <w:bookmarkEnd w:id="1164"/>
          </w:p>
        </w:tc>
      </w:tr>
      <w:tr>
        <w:trPr/>
        <w:tc>
          <w:tcPr>
            <w:tcW w:w="3500" w:type="dxa"/>
            <w:tcBorders/>
            <w:shd w:fill="FFFFFF" w:val="clear"/>
            <w:vAlign w:val="center"/>
          </w:tcPr>
          <w:p>
            <w:pPr>
              <w:pStyle w:val="TableContents"/>
              <w:bidi w:val="0"/>
              <w:spacing w:before="0" w:after="283"/>
              <w:jc w:val="left"/>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pPr>
            <w:r>
              <w:rPr/>
              <w:t>(97,448</w:t>
            </w:r>
          </w:p>
        </w:tc>
        <w:tc>
          <w:tcPr>
            <w:tcW w:w="112"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pPr>
            <w:r>
              <w:rPr/>
              <w:t>(163,008</w:t>
            </w:r>
          </w:p>
        </w:tc>
        <w:tc>
          <w:tcPr>
            <w:tcW w:w="110" w:type="dxa"/>
            <w:tcBorders/>
            <w:shd w:fill="FFFFFF" w:val="clear"/>
            <w:vAlign w:val="center"/>
          </w:tcPr>
          <w:p>
            <w:pPr>
              <w:pStyle w:val="TableContents"/>
              <w:bidi w:val="0"/>
              <w:spacing w:before="0" w:after="283"/>
              <w:jc w:val="left"/>
              <w:rPr/>
            </w:pPr>
            <w:r>
              <w:rPr/>
              <w:t>)</w:t>
            </w:r>
            <w:bookmarkStart w:id="1165" w:name="xdx_403_eus-gaap--OperatingExpenses_iNT_"/>
            <w:bookmarkEnd w:id="1165"/>
          </w:p>
        </w:tc>
      </w:tr>
      <w:tr>
        <w:trPr/>
        <w:tc>
          <w:tcPr>
            <w:tcW w:w="350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(5,913,157</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(7,161,279</w:t>
            </w:r>
          </w:p>
        </w:tc>
        <w:tc>
          <w:tcPr>
            <w:tcW w:w="110" w:type="dxa"/>
            <w:tcBorders/>
            <w:shd w:fill="CCEEFF" w:val="clear"/>
            <w:vAlign w:val="center"/>
          </w:tcPr>
          <w:p>
            <w:pPr>
              <w:pStyle w:val="TableContents"/>
              <w:bidi w:val="0"/>
              <w:spacing w:before="0" w:after="283"/>
              <w:jc w:val="left"/>
              <w:rPr/>
            </w:pPr>
            <w:r>
              <w:rPr/>
              <w:t>)</w:t>
            </w:r>
            <w:bookmarkStart w:id="1166" w:name="xdx_409_eus-gaap--OperatingIncomeLoss_zE"/>
            <w:bookmarkEnd w:id="1166"/>
          </w:p>
        </w:tc>
      </w:tr>
      <w:tr>
        <w:trPr/>
        <w:tc>
          <w:tcPr>
            <w:tcW w:w="350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(688,329</w:t>
            </w:r>
          </w:p>
        </w:tc>
        <w:tc>
          <w:tcPr>
            <w:tcW w:w="112"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(2,222,248</w:t>
            </w:r>
          </w:p>
        </w:tc>
        <w:tc>
          <w:tcPr>
            <w:tcW w:w="110" w:type="dxa"/>
            <w:tcBorders/>
            <w:shd w:fill="FFFFFF" w:val="clear"/>
            <w:vAlign w:val="center"/>
          </w:tcPr>
          <w:p>
            <w:pPr>
              <w:pStyle w:val="TableContents"/>
              <w:bidi w:val="0"/>
              <w:spacing w:before="0" w:after="283"/>
              <w:jc w:val="left"/>
              <w:rPr/>
            </w:pPr>
            <w:r>
              <w:rPr/>
              <w:t>)</w:t>
            </w:r>
            <w:bookmarkStart w:id="1167" w:name="xdx_400_eus-gaap--NonoperatingIncomeExpe"/>
            <w:bookmarkEnd w:id="1167"/>
          </w:p>
        </w:tc>
      </w:tr>
      <w:tr>
        <w:trPr/>
        <w:tc>
          <w:tcPr>
            <w:tcW w:w="3500" w:type="dxa"/>
            <w:tcBorders/>
            <w:shd w:fill="CCEEFF" w:val="clear"/>
            <w:vAlign w:val="center"/>
          </w:tcPr>
          <w:p>
            <w:pPr>
              <w:pStyle w:val="TableContents"/>
              <w:bidi w:val="0"/>
              <w:spacing w:before="0" w:after="283"/>
              <w:jc w:val="left"/>
              <w:rPr/>
            </w:pPr>
            <w:r>
              <w:rPr/>
              <w:t>Other (expense) income, net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(1,265,584</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pPr>
            <w:r>
              <w:rPr/>
              <w:t>1,268,228</w:t>
            </w:r>
          </w:p>
        </w:tc>
        <w:tc>
          <w:tcPr>
            <w:tcW w:w="110" w:type="dxa"/>
            <w:tcBorders/>
            <w:shd w:fill="CCEEFF" w:val="clear"/>
            <w:vAlign w:val="center"/>
          </w:tcPr>
          <w:p>
            <w:pPr>
              <w:pStyle w:val="TableContents"/>
              <w:bidi w:val="0"/>
              <w:spacing w:before="0" w:after="283"/>
              <w:jc w:val="left"/>
              <w:rPr/>
            </w:pPr>
            <w:r>
              <w:rPr/>
              <w:t> </w:t>
            </w:r>
            <w:bookmarkStart w:id="1168" w:name="xdx_403_eus-gaap--IncomeLossFromContinui"/>
            <w:bookmarkEnd w:id="1168"/>
          </w:p>
        </w:tc>
      </w:tr>
      <w:tr>
        <w:trPr/>
        <w:tc>
          <w:tcPr>
            <w:tcW w:w="3500"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1" w:type="dxa"/>
            <w:tcBorders>
              <w:bottom w:val="double" w:sz="6" w:space="0" w:color="000000"/>
            </w:tcBorders>
            <w:shd w:fill="FFFFFF" w:val="clear"/>
            <w:tcMar>
              <w:bottom w:w="28" w:type="dxa"/>
            </w:tcMar>
            <w:vAlign w:val="center"/>
          </w:tcPr>
          <w:p>
            <w:pPr>
              <w:pStyle w:val="TableContents"/>
              <w:bidi w:val="0"/>
              <w:spacing w:before="0" w:after="283"/>
              <w:jc w:val="right"/>
              <w:rPr/>
            </w:pPr>
            <w:r>
              <w:rPr/>
              <w:t>(1,953,913</w:t>
            </w:r>
          </w:p>
        </w:tc>
        <w:tc>
          <w:tcPr>
            <w:tcW w:w="112"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bottom w:w="28" w:type="dxa"/>
            </w:tcMar>
            <w:vAlign w:val="center"/>
          </w:tcPr>
          <w:p>
            <w:pPr>
              <w:pStyle w:val="TableContents"/>
              <w:bidi w:val="0"/>
              <w:spacing w:before="0" w:after="283"/>
              <w:jc w:val="right"/>
              <w:rPr/>
            </w:pPr>
            <w:r>
              <w:rPr/>
              <w:t>(954,020</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Segments’ assets to the Consolidated assets.</w:t>
      </w:r>
    </w:p>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3995"/>
        <w:gridCol w:w="60"/>
        <w:gridCol w:w="140"/>
        <w:gridCol w:w="1220"/>
        <w:gridCol w:w="60"/>
        <w:gridCol w:w="60"/>
        <w:gridCol w:w="140"/>
        <w:gridCol w:w="1220"/>
        <w:gridCol w:w="7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69" w:name="xdx_49F_20260331_z8L7eiY3g8K8"/>
            <w:bookmarkEnd w:id="1169"/>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0" w:name="xdx_498_20250930_zeyg50KOsK79"/>
            <w:bookmarkEnd w:id="1170"/>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1171" w:name="xdx_401_ecustom--SegmentAssets_iI_hus-ga"/>
            <w:bookmarkEnd w:id="1171"/>
          </w:p>
        </w:tc>
      </w:tr>
      <w:tr>
        <w:trPr/>
        <w:tc>
          <w:tcPr>
            <w:tcW w:w="3995" w:type="dxa"/>
            <w:tcBorders/>
            <w:shd w:fill="CCEEFF" w:val="clear"/>
            <w:vAlign w:val="center"/>
          </w:tcPr>
          <w:p>
            <w:pPr>
              <w:pStyle w:val="TableContents"/>
              <w:bidi w:val="0"/>
              <w:spacing w:before="0" w:after="283"/>
              <w:jc w:val="left"/>
              <w:rPr/>
            </w:pPr>
            <w:r>
              <w:rPr/>
              <w:t>Clean-energy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54,895,295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44,096,905</w:t>
            </w:r>
          </w:p>
        </w:tc>
        <w:tc>
          <w:tcPr>
            <w:tcW w:w="75" w:type="dxa"/>
            <w:tcBorders/>
            <w:shd w:fill="CCEEFF" w:val="clear"/>
            <w:vAlign w:val="center"/>
          </w:tcPr>
          <w:p>
            <w:pPr>
              <w:pStyle w:val="TableContents"/>
              <w:bidi w:val="0"/>
              <w:spacing w:before="0" w:after="283"/>
              <w:jc w:val="left"/>
              <w:rPr/>
            </w:pPr>
            <w:r>
              <w:rPr/>
              <w:t> </w:t>
            </w:r>
            <w:bookmarkStart w:id="1172" w:name="xdx_402_ecustom--SegmentAssets_iI_hus-ga"/>
            <w:bookmarkEnd w:id="1172"/>
          </w:p>
        </w:tc>
      </w:tr>
      <w:tr>
        <w:trPr/>
        <w:tc>
          <w:tcPr>
            <w:tcW w:w="3995" w:type="dxa"/>
            <w:tcBorders/>
            <w:shd w:fill="FFFFFF" w:val="clear"/>
            <w:vAlign w:val="center"/>
          </w:tcPr>
          <w:p>
            <w:pPr>
              <w:pStyle w:val="TableContents"/>
              <w:bidi w:val="0"/>
              <w:spacing w:before="0" w:after="283"/>
              <w:jc w:val="left"/>
              <w:rPr/>
            </w:pPr>
            <w:r>
              <w:rPr/>
              <w:t>Digitalization and integration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9,201,480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7,904,522</w:t>
            </w:r>
          </w:p>
        </w:tc>
        <w:tc>
          <w:tcPr>
            <w:tcW w:w="75" w:type="dxa"/>
            <w:tcBorders/>
            <w:shd w:fill="FFFFFF" w:val="clear"/>
            <w:vAlign w:val="center"/>
          </w:tcPr>
          <w:p>
            <w:pPr>
              <w:pStyle w:val="TableContents"/>
              <w:bidi w:val="0"/>
              <w:spacing w:before="0" w:after="283"/>
              <w:jc w:val="left"/>
              <w:rPr/>
            </w:pPr>
            <w:r>
              <w:rPr/>
              <w:t> </w:t>
            </w:r>
            <w:bookmarkStart w:id="1173" w:name="xdx_405_ecustom--SegmentAssets_iI_hus-ga"/>
            <w:bookmarkEnd w:id="1173"/>
          </w:p>
        </w:tc>
      </w:tr>
      <w:tr>
        <w:trPr/>
        <w:tc>
          <w:tcPr>
            <w:tcW w:w="3995" w:type="dxa"/>
            <w:tcBorders/>
            <w:shd w:fill="CCEEFF" w:val="clear"/>
            <w:vAlign w:val="center"/>
          </w:tcPr>
          <w:p>
            <w:pPr>
              <w:pStyle w:val="TableContents"/>
              <w:bidi w:val="0"/>
              <w:spacing w:before="0" w:after="283"/>
              <w:jc w:val="left"/>
              <w:rPr/>
            </w:pPr>
            <w:r>
              <w:rPr/>
              <w:t>New energy production and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2,142,356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1,658,836</w:t>
            </w:r>
          </w:p>
        </w:tc>
        <w:tc>
          <w:tcPr>
            <w:tcW w:w="75" w:type="dxa"/>
            <w:tcBorders/>
            <w:shd w:fill="CCEEFF" w:val="clear"/>
            <w:vAlign w:val="center"/>
          </w:tcPr>
          <w:p>
            <w:pPr>
              <w:pStyle w:val="TableContents"/>
              <w:bidi w:val="0"/>
              <w:spacing w:before="0" w:after="283"/>
              <w:jc w:val="left"/>
              <w:rPr/>
            </w:pPr>
            <w:r>
              <w:rPr/>
              <w:t> </w:t>
            </w:r>
            <w:bookmarkStart w:id="1174" w:name="xdx_407_ecustom--SegmentAssets_iI_hus-ga"/>
            <w:bookmarkEnd w:id="1174"/>
          </w:p>
        </w:tc>
      </w:tr>
      <w:tr>
        <w:trPr/>
        <w:tc>
          <w:tcPr>
            <w:tcW w:w="3995" w:type="dxa"/>
            <w:tcBorders/>
            <w:shd w:fill="FFFFFF" w:val="clear"/>
            <w:vAlign w:val="center"/>
          </w:tcPr>
          <w:p>
            <w:pPr>
              <w:pStyle w:val="TableContents"/>
              <w:bidi w:val="0"/>
              <w:spacing w:before="0" w:after="283"/>
              <w:jc w:val="left"/>
              <w:rPr/>
            </w:pPr>
            <w:r>
              <w:rPr/>
              <w:t>Oil and gas engineering technical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37,180,355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23,558,598</w:t>
            </w:r>
          </w:p>
        </w:tc>
        <w:tc>
          <w:tcPr>
            <w:tcW w:w="75" w:type="dxa"/>
            <w:tcBorders/>
            <w:shd w:fill="FFFFFF" w:val="clear"/>
            <w:vAlign w:val="center"/>
          </w:tcPr>
          <w:p>
            <w:pPr>
              <w:pStyle w:val="TableContents"/>
              <w:bidi w:val="0"/>
              <w:spacing w:before="0" w:after="283"/>
              <w:jc w:val="left"/>
              <w:rPr/>
            </w:pPr>
            <w:r>
              <w:rPr/>
              <w:t> </w:t>
            </w:r>
            <w:bookmarkStart w:id="1175" w:name="xdx_40D_ecustom--OtherCorporateAssets_iI"/>
            <w:bookmarkEnd w:id="1175"/>
          </w:p>
        </w:tc>
      </w:tr>
      <w:tr>
        <w:trPr/>
        <w:tc>
          <w:tcPr>
            <w:tcW w:w="3995" w:type="dxa"/>
            <w:tcBorders/>
            <w:shd w:fill="CCEEFF" w:val="clear"/>
            <w:vAlign w:val="center"/>
          </w:tcPr>
          <w:p>
            <w:pPr>
              <w:pStyle w:val="TableContents"/>
              <w:bidi w:val="0"/>
              <w:spacing w:before="0" w:after="283"/>
              <w:jc w:val="left"/>
              <w:rPr/>
            </w:pPr>
            <w:r>
              <w:rPr/>
              <w:t>Other corporate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31,641,977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46,535,830</w:t>
            </w:r>
          </w:p>
        </w:tc>
        <w:tc>
          <w:tcPr>
            <w:tcW w:w="75" w:type="dxa"/>
            <w:tcBorders/>
            <w:shd w:fill="CCEEFF" w:val="clear"/>
            <w:vAlign w:val="center"/>
          </w:tcPr>
          <w:p>
            <w:pPr>
              <w:pStyle w:val="TableContents"/>
              <w:bidi w:val="0"/>
              <w:spacing w:before="0" w:after="283"/>
              <w:jc w:val="left"/>
              <w:rPr/>
            </w:pPr>
            <w:r>
              <w:rPr/>
              <w:t> </w:t>
            </w:r>
            <w:bookmarkStart w:id="1176" w:name="xdx_407_ecustom--SegmentAssets_iI_zTqL8Q"/>
            <w:bookmarkEnd w:id="1176"/>
          </w:p>
        </w:tc>
      </w:tr>
      <w:tr>
        <w:trPr/>
        <w:tc>
          <w:tcPr>
            <w:tcW w:w="399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135,061,463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123,754,691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995" w:type="dxa"/>
        <w:jc w:val="left"/>
        <w:tblInd w:w="0" w:type="dxa"/>
        <w:tblLayout w:type="fixed"/>
        <w:tblCellMar>
          <w:top w:w="0" w:type="dxa"/>
          <w:left w:w="0" w:type="dxa"/>
          <w:bottom w:w="0" w:type="dxa"/>
          <w:right w:w="0" w:type="dxa"/>
        </w:tblCellMar>
      </w:tblPr>
      <w:tblGrid>
        <w:gridCol w:w="3995"/>
        <w:gridCol w:w="60"/>
        <w:gridCol w:w="140"/>
        <w:gridCol w:w="1220"/>
        <w:gridCol w:w="95"/>
        <w:gridCol w:w="60"/>
        <w:gridCol w:w="140"/>
        <w:gridCol w:w="1175"/>
        <w:gridCol w:w="11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7" w:name="xdx_49F_20260331_zkOSmCWUiwXf"/>
            <w:bookmarkEnd w:id="1177"/>
          </w:p>
        </w:tc>
        <w:tc>
          <w:tcPr>
            <w:tcW w:w="13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78" w:name="xdx_498_20250930_zJCA8Gja92S6"/>
            <w:bookmarkEnd w:id="1178"/>
          </w:p>
        </w:tc>
        <w:tc>
          <w:tcPr>
            <w:tcW w:w="131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1179" w:name="xdx_405_ecustom--AssetsRelatedToReportab"/>
            <w:bookmarkEnd w:id="1179"/>
          </w:p>
        </w:tc>
      </w:tr>
      <w:tr>
        <w:trPr/>
        <w:tc>
          <w:tcPr>
            <w:tcW w:w="3995" w:type="dxa"/>
            <w:tcBorders/>
            <w:shd w:fill="CCEEFF" w:val="clear"/>
            <w:vAlign w:val="center"/>
          </w:tcPr>
          <w:p>
            <w:pPr>
              <w:pStyle w:val="TableContents"/>
              <w:bidi w:val="0"/>
              <w:spacing w:before="0" w:after="283"/>
              <w:jc w:val="left"/>
              <w:rPr/>
            </w:pPr>
            <w:r>
              <w:rPr/>
              <w:t>Total assets related to reportable segments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103,419,486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77,218,861</w:t>
            </w:r>
          </w:p>
        </w:tc>
        <w:tc>
          <w:tcPr>
            <w:tcW w:w="110" w:type="dxa"/>
            <w:tcBorders/>
            <w:shd w:fill="CCEEFF" w:val="clear"/>
            <w:vAlign w:val="center"/>
          </w:tcPr>
          <w:p>
            <w:pPr>
              <w:pStyle w:val="TableContents"/>
              <w:bidi w:val="0"/>
              <w:spacing w:before="0" w:after="283"/>
              <w:jc w:val="left"/>
              <w:rPr/>
            </w:pPr>
            <w:r>
              <w:rPr/>
              <w:t> </w:t>
            </w:r>
            <w:bookmarkStart w:id="1180" w:name="xdx_40E_ecustom--OtherCorporateAssets_iI"/>
            <w:bookmarkEnd w:id="1180"/>
          </w:p>
        </w:tc>
      </w:tr>
      <w:tr>
        <w:trPr/>
        <w:tc>
          <w:tcPr>
            <w:tcW w:w="3995" w:type="dxa"/>
            <w:tcBorders/>
            <w:shd w:fill="FFFFFF" w:val="clear"/>
            <w:vAlign w:val="center"/>
          </w:tcPr>
          <w:p>
            <w:pPr>
              <w:pStyle w:val="TableContents"/>
              <w:bidi w:val="0"/>
              <w:spacing w:before="0" w:after="283"/>
              <w:jc w:val="left"/>
              <w:rPr/>
            </w:pPr>
            <w:r>
              <w:rPr/>
              <w:t>Other corporate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31,641,977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46,535,830</w:t>
            </w:r>
          </w:p>
        </w:tc>
        <w:tc>
          <w:tcPr>
            <w:tcW w:w="110" w:type="dxa"/>
            <w:tcBorders/>
            <w:shd w:fill="FFFFFF" w:val="clear"/>
            <w:vAlign w:val="center"/>
          </w:tcPr>
          <w:p>
            <w:pPr>
              <w:pStyle w:val="TableContents"/>
              <w:bidi w:val="0"/>
              <w:spacing w:before="0" w:after="283"/>
              <w:jc w:val="left"/>
              <w:rPr/>
            </w:pPr>
            <w:r>
              <w:rPr/>
              <w:t> </w:t>
            </w:r>
            <w:bookmarkStart w:id="1181" w:name="xdx_402_ecustom--EliminationOfIntercompa"/>
            <w:bookmarkEnd w:id="1181"/>
          </w:p>
        </w:tc>
      </w:tr>
      <w:tr>
        <w:trPr/>
        <w:tc>
          <w:tcPr>
            <w:tcW w:w="3995" w:type="dxa"/>
            <w:tcBorders/>
            <w:shd w:fill="CCEEFF" w:val="clear"/>
            <w:vAlign w:val="center"/>
          </w:tcPr>
          <w:p>
            <w:pPr>
              <w:pStyle w:val="TableContents"/>
              <w:bidi w:val="0"/>
              <w:spacing w:before="0" w:after="283"/>
              <w:jc w:val="left"/>
              <w:rPr/>
            </w:pPr>
            <w:r>
              <w:rPr/>
              <w:t>Elimination of intercompany balances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(64,802,908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(54,422,059</w:t>
            </w:r>
          </w:p>
        </w:tc>
        <w:tc>
          <w:tcPr>
            <w:tcW w:w="110" w:type="dxa"/>
            <w:tcBorders/>
            <w:shd w:fill="CCEEFF" w:val="clear"/>
            <w:vAlign w:val="center"/>
          </w:tcPr>
          <w:p>
            <w:pPr>
              <w:pStyle w:val="TableContents"/>
              <w:bidi w:val="0"/>
              <w:spacing w:before="0" w:after="283"/>
              <w:jc w:val="left"/>
              <w:rPr/>
            </w:pPr>
            <w:r>
              <w:rPr/>
              <w:t>)</w:t>
            </w:r>
            <w:bookmarkStart w:id="1182" w:name="xdx_40E_eus-gaap--Assets_iI_z2TafsJHKGQ1"/>
            <w:bookmarkEnd w:id="1182"/>
          </w:p>
        </w:tc>
      </w:tr>
      <w:tr>
        <w:trPr/>
        <w:tc>
          <w:tcPr>
            <w:tcW w:w="3995" w:type="dxa"/>
            <w:tcBorders/>
            <w:shd w:fill="FFFFFF" w:val="clear"/>
            <w:vAlign w:val="center"/>
          </w:tcPr>
          <w:p>
            <w:pPr>
              <w:pStyle w:val="TableContents"/>
              <w:bidi w:val="0"/>
              <w:spacing w:before="0" w:after="283"/>
              <w:jc w:val="left"/>
              <w:rPr/>
            </w:pPr>
            <w:r>
              <w:rPr/>
              <w:t>Total consolidated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70,258,555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69,332,632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83" w:name="xdx_8A1_z9G0zjpW2R9k"/>
      <w:bookmarkEnd w:id="118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84" w:name="xdx_809_eus-gaap--SubsequentEventsTextBl"/>
      <w:bookmarkEnd w:id="1184"/>
      <w:r>
        <w:rPr>
          <w:rFonts w:ascii="Times New Roman;Times;Serif" w:hAnsi="Times New Roman;Times;Serif"/>
          <w:b/>
          <w:i w:val="false"/>
          <w:caps w:val="false"/>
          <w:smallCaps w:val="false"/>
          <w:sz w:val="20"/>
        </w:rPr>
        <w:t xml:space="preserve">NOTE 21 – </w:t>
      </w:r>
      <w:bookmarkStart w:id="1185" w:name="xdx_821_z90U0saia9l5"/>
      <w:bookmarkEnd w:id="118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Beijing Chenghui, ZJY Technologies, Leishen Shandong, and Sichuan TIBO (which is a supplier of the Company) executed a debt offset agreement, under which Beijing Chenghui directly repays to Sichuan TIBO all principal and interest owed to ZJY Technologies, and all chain debts among the four parties are simultaneously settled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the Company filed a registration statement on Form F-3 with the SEC that was declared effective on June 18, 2026. In accordance with the F-3, the Company may offer issue and sell its registered securities from time to time up to $</w:t>
      </w:r>
      <w:bookmarkStart w:id="1186" w:name="xdx_900_eus-gaap--SaleOfStockNumberOfSha"/>
      <w:bookmarkEnd w:id="1186"/>
      <w:r>
        <w:rPr>
          <w:rFonts w:ascii="Times New Roman;Times;Serif" w:hAnsi="Times New Roman;Times;Serif"/>
          <w:b w:val="false"/>
          <w:i w:val="false"/>
          <w:caps w:val="false"/>
          <w:smallCaps w:val="false"/>
          <w:sz w:val="20"/>
        </w:rPr>
        <w:t>150,000,000, or its equivalent in any other currency, currency units, or composite currency or currencies, of its Class A ordinary shares of par value $</w:t>
      </w:r>
      <w:bookmarkStart w:id="1187" w:name="xdx_90B_eus-gaap--CommonStockParOrStated"/>
      <w:bookmarkEnd w:id="1187"/>
      <w:r>
        <w:rPr>
          <w:rFonts w:ascii="Times New Roman;Times;Serif" w:hAnsi="Times New Roman;Times;Serif"/>
          <w:b w:val="false"/>
          <w:i w:val="false"/>
          <w:caps w:val="false"/>
          <w:smallCaps w:val="false"/>
          <w:sz w:val="20"/>
        </w:rPr>
        <w:t>0.001 each, warrants to purchase Class A Ordinary Shares, debt securities, rights and a combination of such securities, separately or as units, in one or more offerings. The Company has not sold any securities under the Form F-3. Any such offering would be made pursuant to a prospectus supplement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2026, Suqian Asgard Energy Service Co., Ltd (“Suqian Asgard”) was incorporated in Suqian Jiangsu Province, China. Suqian Asgard is </w:t>
      </w:r>
      <w:bookmarkStart w:id="1188" w:name="xdx_90C_eus-gaap--EquityMethodInvestment"/>
      <w:bookmarkEnd w:id="1188"/>
      <w:r>
        <w:rPr>
          <w:rFonts w:ascii="Times New Roman;Times;Serif" w:hAnsi="Times New Roman;Times;Serif"/>
          <w:b w:val="false"/>
          <w:i w:val="false"/>
          <w:caps w:val="false"/>
          <w:smallCaps w:val="false"/>
          <w:sz w:val="20"/>
        </w:rPr>
        <w:t>100% controlled by Xinjiang Breslin and it currently has no business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89" w:name="xdx_808_eus-gaap--CondensedFinancialInfo"/>
      <w:bookmarkEnd w:id="1189"/>
      <w:r>
        <w:rPr>
          <w:rFonts w:ascii="Times New Roman;Times;Serif" w:hAnsi="Times New Roman;Times;Serif"/>
          <w:b/>
          <w:i w:val="false"/>
          <w:caps w:val="false"/>
          <w:smallCaps w:val="false"/>
          <w:sz w:val="20"/>
        </w:rPr>
        <w:t xml:space="preserve">NOTE 22 – </w:t>
      </w:r>
      <w:bookmarkStart w:id="1190" w:name="xdx_828_zNnHebaFeZ1f"/>
      <w:bookmarkEnd w:id="1190"/>
      <w:r>
        <w:rPr>
          <w:rFonts w:ascii="Times New Roman;Times;Serif" w:hAnsi="Times New Roman;Times;Serif"/>
          <w:b/>
          <w:i w:val="false"/>
          <w:caps w:val="false"/>
          <w:smallCaps w:val="false"/>
          <w:sz w:val="20"/>
        </w:rPr>
        <w:t>PARENT COMPANY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12-04(a), 5-04(c) and 4-08(e)(3) of Regulation S-X, the condensed financial information of the parent company shall be filed when the restricted net assets of consolidated subsidiaries exceed 25% of consolidated net assets as of the end of the most recently completed fiscal year. The Company performed a test on the restricted net assets of consolidated subsidiaries in accordance with such requirement and concluded that it was applicable to the Company as the restricted net assets of the Company’s PRC subsidiary exceeded 25% of the consolidated net assets of the Company. Therefore, the condensed financial statements for the parent company are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above test, restricted net assets of consolidated subsidiaries shall mean that amount of the Company’s proportionate share of net assets of consolidated subsidiaries (after intercompany eliminations) which as of the end of the most recent fiscal year may not be transferred to the parent company by subsidiaries in the form of loans, advances or cash dividends without the consent of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financial information of the parent company was prepared using the same accounting policies as set out in the Company’s condensed consolidated financial statements except that the parent company used the equity method to account for investment in its subsidiaries. Such investment is presented on the condensed balance sheets as “Investment in subsidiaries” and the respective profit or loss as “Equity in earnings of subsidiaries” on the condensed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September 30, 2025, and six months ended March 31, 2026 and 2025, there were no material contingencies, significant provisions for long-term obligations, or guarantees of the Company, except for those which have been separately disclosed in the condensed consolidated financial statements, if 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91" w:name="xdx_895_esrt--ScheduleOfCondensedBalance"/>
      <w:bookmarkEnd w:id="1191"/>
      <w:r>
        <w:rPr>
          <w:rFonts w:ascii="Times New Roman;Times;Serif" w:hAnsi="Times New Roman;Times;Serif"/>
          <w:b/>
          <w:i w:val="false"/>
          <w:caps w:val="false"/>
          <w:smallCaps w:val="false"/>
          <w:sz w:val="20"/>
        </w:rPr>
        <w:t>PARENT COMPANY BALANCE SHEETS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92" w:name="xdx_8BF_zBoCIhMNRFi1"/>
      <w:bookmarkEnd w:id="1192"/>
      <w:r>
        <w:rPr>
          <w:rFonts w:ascii="Times New Roman;Times;Serif" w:hAnsi="Times New Roman;Times;Serif"/>
          <w:b w:val="false"/>
          <w:i w:val="false"/>
          <w:caps w:val="false"/>
          <w:smallCaps w:val="false"/>
          <w:sz w:val="20"/>
        </w:rPr>
        <w:t>SCHEDULE OF PARENT COMPANY BALANCE SHEETS</w:t>
      </w:r>
    </w:p>
    <w:tbl>
      <w:tblPr>
        <w:tblW w:w="10205" w:type="dxa"/>
        <w:jc w:val="left"/>
        <w:tblInd w:w="0" w:type="dxa"/>
        <w:tblLayout w:type="fixed"/>
        <w:tblCellMar>
          <w:top w:w="0" w:type="dxa"/>
          <w:left w:w="0" w:type="dxa"/>
          <w:bottom w:w="0" w:type="dxa"/>
          <w:right w:w="0" w:type="dxa"/>
        </w:tblCellMar>
      </w:tblPr>
      <w:tblGrid>
        <w:gridCol w:w="7396"/>
        <w:gridCol w:w="60"/>
        <w:gridCol w:w="140"/>
        <w:gridCol w:w="1102"/>
        <w:gridCol w:w="95"/>
        <w:gridCol w:w="60"/>
        <w:gridCol w:w="140"/>
        <w:gridCol w:w="1100"/>
        <w:gridCol w:w="112"/>
      </w:tblGrid>
      <w:tr>
        <w:trPr/>
        <w:tc>
          <w:tcPr>
            <w:tcW w:w="7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3" w:name="xdx_492_20260331__srt--ConsolidatedEntit"/>
            <w:bookmarkEnd w:id="1193"/>
          </w:p>
        </w:tc>
        <w:tc>
          <w:tcPr>
            <w:tcW w:w="124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94" w:name="xdx_490_20250930__srt--ConsolidatedEntit"/>
            <w:bookmarkEnd w:id="1194"/>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2" w:type="dxa"/>
            <w:tcBorders/>
            <w:vAlign w:val="center"/>
          </w:tcPr>
          <w:p>
            <w:pPr>
              <w:pStyle w:val="TableContents"/>
              <w:bidi w:val="0"/>
              <w:spacing w:before="0" w:after="283"/>
              <w:jc w:val="left"/>
              <w:rPr/>
            </w:pPr>
            <w:r>
              <w:rPr/>
              <w:t> </w:t>
            </w:r>
          </w:p>
        </w:tc>
      </w:tr>
      <w:tr>
        <w:trPr/>
        <w:tc>
          <w:tcPr>
            <w:tcW w:w="73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bookmarkStart w:id="1195" w:name="xdx_404_eus-gaap--AssetsAbstract_iB_zSy6"/>
            <w:bookmarkEnd w:id="1195"/>
          </w:p>
        </w:tc>
      </w:tr>
      <w:tr>
        <w:trPr/>
        <w:tc>
          <w:tcPr>
            <w:tcW w:w="7396"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96" w:name="xdx_400_eus-gaap--AssetsNoncurrentAbstra"/>
            <w:bookmarkEnd w:id="1196"/>
          </w:p>
        </w:tc>
      </w:tr>
      <w:tr>
        <w:trPr/>
        <w:tc>
          <w:tcPr>
            <w:tcW w:w="7396"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197" w:name="xdx_40E_eus-gaap--CashAndCashEquivalents"/>
            <w:bookmarkEnd w:id="1197"/>
          </w:p>
        </w:tc>
      </w:tr>
      <w:tr>
        <w:trPr/>
        <w:tc>
          <w:tcPr>
            <w:tcW w:w="739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2,890,744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3,497,762</w:t>
            </w:r>
          </w:p>
        </w:tc>
        <w:tc>
          <w:tcPr>
            <w:tcW w:w="112" w:type="dxa"/>
            <w:tcBorders/>
            <w:shd w:fill="CCEEFF" w:val="clear"/>
            <w:vAlign w:val="center"/>
          </w:tcPr>
          <w:p>
            <w:pPr>
              <w:pStyle w:val="TableContents"/>
              <w:bidi w:val="0"/>
              <w:spacing w:before="0" w:after="283"/>
              <w:jc w:val="left"/>
              <w:rPr/>
            </w:pPr>
            <w:r>
              <w:rPr/>
              <w:t> </w:t>
            </w:r>
            <w:bookmarkStart w:id="1198" w:name="xdx_403_ecustom--AmountsDueFromSubsidiar"/>
            <w:bookmarkEnd w:id="1198"/>
          </w:p>
        </w:tc>
      </w:tr>
      <w:tr>
        <w:trPr/>
        <w:tc>
          <w:tcPr>
            <w:tcW w:w="7396" w:type="dxa"/>
            <w:tcBorders/>
            <w:shd w:fill="FFFFFF" w:val="clear"/>
            <w:vAlign w:val="center"/>
          </w:tcPr>
          <w:p>
            <w:pPr>
              <w:pStyle w:val="TableContents"/>
              <w:bidi w:val="0"/>
              <w:spacing w:before="0" w:after="283"/>
              <w:jc w:val="left"/>
              <w:rPr/>
            </w:pPr>
            <w:r>
              <w:rPr/>
              <w:t>Amounts due from a subsidiary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1,600,000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1,500,000</w:t>
            </w:r>
          </w:p>
        </w:tc>
        <w:tc>
          <w:tcPr>
            <w:tcW w:w="112" w:type="dxa"/>
            <w:tcBorders/>
            <w:shd w:fill="FFFFFF" w:val="clear"/>
            <w:vAlign w:val="center"/>
          </w:tcPr>
          <w:p>
            <w:pPr>
              <w:pStyle w:val="TableContents"/>
              <w:bidi w:val="0"/>
              <w:spacing w:before="0" w:after="283"/>
              <w:jc w:val="left"/>
              <w:rPr/>
            </w:pPr>
            <w:r>
              <w:rPr/>
              <w:t> </w:t>
            </w:r>
            <w:bookmarkStart w:id="1199" w:name="xdx_409_eus-gaap--AssetsCurrent_iTI_mtAC"/>
            <w:bookmarkEnd w:id="1199"/>
          </w:p>
        </w:tc>
      </w:tr>
      <w:tr>
        <w:trPr/>
        <w:tc>
          <w:tcPr>
            <w:tcW w:w="7396"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4,490,744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4,997,762</w:t>
            </w:r>
          </w:p>
        </w:tc>
        <w:tc>
          <w:tcPr>
            <w:tcW w:w="112"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00" w:name="xdx_400_eus-gaap--AssetsNoncurrentAbstra"/>
            <w:bookmarkEnd w:id="1200"/>
          </w:p>
        </w:tc>
      </w:tr>
      <w:tr>
        <w:trPr/>
        <w:tc>
          <w:tcPr>
            <w:tcW w:w="7396" w:type="dxa"/>
            <w:tcBorders/>
            <w:shd w:fill="CCEEFF" w:val="clear"/>
            <w:vAlign w:val="center"/>
          </w:tcPr>
          <w:p>
            <w:pPr>
              <w:pStyle w:val="TableContents"/>
              <w:bidi w:val="0"/>
              <w:spacing w:before="0" w:after="283"/>
              <w:jc w:val="left"/>
              <w:rPr>
                <w:b/>
              </w:rPr>
            </w:pPr>
            <w:r>
              <w:rPr>
                <w:b/>
              </w:rPr>
              <w:t>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01" w:name="xdx_403_eus-gaap--Investments_i01I_maANz"/>
            <w:bookmarkEnd w:id="1201"/>
          </w:p>
        </w:tc>
      </w:tr>
      <w:tr>
        <w:trPr/>
        <w:tc>
          <w:tcPr>
            <w:tcW w:w="7396" w:type="dxa"/>
            <w:tcBorders/>
            <w:shd w:fill="FFFFFF" w:val="clear"/>
            <w:vAlign w:val="center"/>
          </w:tcPr>
          <w:p>
            <w:pPr>
              <w:pStyle w:val="TableContents"/>
              <w:bidi w:val="0"/>
              <w:spacing w:before="0" w:after="283"/>
              <w:jc w:val="left"/>
              <w:rPr/>
            </w:pPr>
            <w:r>
              <w:rPr/>
              <w:t>Investment in subsidiaries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pPr>
            <w:r>
              <w:rPr/>
              <w:t>40,085,401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40,434,973</w:t>
            </w:r>
          </w:p>
        </w:tc>
        <w:tc>
          <w:tcPr>
            <w:tcW w:w="112" w:type="dxa"/>
            <w:tcBorders/>
            <w:shd w:fill="FFFFFF" w:val="clear"/>
            <w:vAlign w:val="center"/>
          </w:tcPr>
          <w:p>
            <w:pPr>
              <w:pStyle w:val="TableContents"/>
              <w:bidi w:val="0"/>
              <w:spacing w:before="0" w:after="283"/>
              <w:jc w:val="left"/>
              <w:rPr/>
            </w:pPr>
            <w:r>
              <w:rPr/>
              <w:t> </w:t>
            </w:r>
            <w:bookmarkStart w:id="1202" w:name="xdx_40B_eus-gaap--AssetsNoncurrent_iTI_m"/>
            <w:bookmarkEnd w:id="1202"/>
          </w:p>
        </w:tc>
      </w:tr>
      <w:tr>
        <w:trPr/>
        <w:tc>
          <w:tcPr>
            <w:tcW w:w="7396"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pPr>
            <w:r>
              <w:rPr/>
              <w:t>40,085,401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40,434,973</w:t>
            </w:r>
          </w:p>
        </w:tc>
        <w:tc>
          <w:tcPr>
            <w:tcW w:w="112"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03" w:name="xdx_406_eus-gaap--Assets_iTI_pp0p0_mtAze"/>
            <w:bookmarkEnd w:id="1203"/>
          </w:p>
        </w:tc>
      </w:tr>
      <w:tr>
        <w:trPr/>
        <w:tc>
          <w:tcPr>
            <w:tcW w:w="7396"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44,576,145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45,432,735</w:t>
            </w:r>
          </w:p>
        </w:tc>
        <w:tc>
          <w:tcPr>
            <w:tcW w:w="112"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04" w:name="xdx_40C_eus-gaap--LiabilitiesAndStockhol"/>
            <w:bookmarkEnd w:id="1204"/>
          </w:p>
        </w:tc>
      </w:tr>
      <w:tr>
        <w:trPr/>
        <w:tc>
          <w:tcPr>
            <w:tcW w:w="7396"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05" w:name="xdx_40F_eus-gaap--Liabilities_iI_maLASEz"/>
            <w:bookmarkEnd w:id="1205"/>
          </w:p>
        </w:tc>
      </w:tr>
      <w:tr>
        <w:trPr/>
        <w:tc>
          <w:tcPr>
            <w:tcW w:w="7396"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2"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06" w:name="xdx_403_eus-gaap--CommitmentsAndContinge"/>
            <w:bookmarkEnd w:id="1206"/>
          </w:p>
        </w:tc>
      </w:tr>
      <w:tr>
        <w:trPr/>
        <w:tc>
          <w:tcPr>
            <w:tcW w:w="7396"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3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207" w:name="xdx_405_eus-gaap--StockholdersEquityIncl"/>
            <w:bookmarkEnd w:id="1207"/>
          </w:p>
        </w:tc>
      </w:tr>
      <w:tr>
        <w:trPr/>
        <w:tc>
          <w:tcPr>
            <w:tcW w:w="7396"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08" w:name="xdx_40A_eus-gaap--CommonStockValue_i01I_"/>
            <w:bookmarkEnd w:id="1208"/>
          </w:p>
        </w:tc>
      </w:tr>
      <w:tr>
        <w:trPr/>
        <w:tc>
          <w:tcPr>
            <w:tcW w:w="7396" w:type="dxa"/>
            <w:tcBorders/>
            <w:shd w:fill="FFFFFF" w:val="clear"/>
            <w:vAlign w:val="center"/>
          </w:tcPr>
          <w:p>
            <w:pPr>
              <w:pStyle w:val="TableContents"/>
              <w:bidi w:val="0"/>
              <w:spacing w:before="0" w:after="283"/>
              <w:jc w:val="left"/>
              <w:rPr/>
            </w:pPr>
            <w:r>
              <w:rPr/>
              <w:t>Ordinary shares Ordinary shares (par value $</w:t>
            </w:r>
            <w:bookmarkStart w:id="1209" w:name="xdx_903_eus-gaap--CommonStockParOrStated"/>
            <w:bookmarkStart w:id="1210" w:name="xdx_907_eus-gaap--CommonStockParOrStated"/>
            <w:bookmarkEnd w:id="1209"/>
            <w:bookmarkEnd w:id="1210"/>
            <w:r>
              <w:rPr/>
              <w:t xml:space="preserve">0.001 per share, </w:t>
            </w:r>
            <w:bookmarkStart w:id="1211" w:name="xdx_90E_eus-gaap--CommonStockSharesAutho"/>
            <w:bookmarkStart w:id="1212" w:name="xdx_90F_eus-gaap--CommonStockSharesAutho"/>
            <w:bookmarkEnd w:id="1211"/>
            <w:bookmarkEnd w:id="1212"/>
            <w:r>
              <w:rPr/>
              <w:t xml:space="preserve">50,000,000 shares authorized; </w:t>
            </w:r>
            <w:bookmarkStart w:id="1213" w:name="xdx_902_eus-gaap--CommonStockSharesOutst"/>
            <w:bookmarkStart w:id="1214" w:name="xdx_903_eus-gaap--CommonStockSharesIssue"/>
            <w:bookmarkEnd w:id="1213"/>
            <w:bookmarkEnd w:id="1214"/>
            <w:r>
              <w:rPr/>
              <w:t xml:space="preserve">17,025,000 and </w:t>
            </w:r>
            <w:bookmarkStart w:id="1215" w:name="xdx_905_eus-gaap--CommonStockSharesOutst"/>
            <w:bookmarkStart w:id="1216" w:name="xdx_90B_eus-gaap--CommonStockSharesIssue"/>
            <w:bookmarkEnd w:id="1215"/>
            <w:bookmarkEnd w:id="1216"/>
            <w:r>
              <w:rPr/>
              <w:t>17,025,000 shares issued and outstanding as of September 30,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17,025</w:t>
            </w:r>
          </w:p>
        </w:tc>
        <w:tc>
          <w:tcPr>
            <w:tcW w:w="112" w:type="dxa"/>
            <w:tcBorders/>
            <w:shd w:fill="FFFFFF" w:val="clear"/>
            <w:vAlign w:val="center"/>
          </w:tcPr>
          <w:p>
            <w:pPr>
              <w:pStyle w:val="TableContents"/>
              <w:bidi w:val="0"/>
              <w:spacing w:before="0" w:after="283"/>
              <w:jc w:val="left"/>
              <w:rPr/>
            </w:pPr>
            <w:r>
              <w:rPr/>
              <w:t> </w:t>
            </w:r>
            <w:bookmarkStart w:id="1217" w:name="xdx_405_eus-gaap--CommonStockValue_i01I_"/>
            <w:bookmarkEnd w:id="1217"/>
          </w:p>
        </w:tc>
      </w:tr>
      <w:tr>
        <w:trPr/>
        <w:tc>
          <w:tcPr>
            <w:tcW w:w="7396" w:type="dxa"/>
            <w:tcBorders/>
            <w:shd w:fill="CCEEFF" w:val="clear"/>
            <w:vAlign w:val="center"/>
          </w:tcPr>
          <w:p>
            <w:pPr>
              <w:pStyle w:val="TableContents"/>
              <w:bidi w:val="0"/>
              <w:spacing w:before="0" w:after="283"/>
              <w:jc w:val="left"/>
              <w:rPr/>
            </w:pPr>
            <w:r>
              <w:rPr/>
              <w:t>Class A Ordinary Shares (par value $</w:t>
            </w:r>
            <w:bookmarkStart w:id="1218" w:name="xdx_905_eus-gaap--CommonStockParOrStated"/>
            <w:bookmarkStart w:id="1219" w:name="xdx_908_eus-gaap--CommonStockParOrStated"/>
            <w:bookmarkEnd w:id="1218"/>
            <w:bookmarkEnd w:id="1219"/>
            <w:r>
              <w:rPr/>
              <w:t xml:space="preserve">0.001 per share, </w:t>
            </w:r>
            <w:bookmarkStart w:id="1220" w:name="xdx_908_eus-gaap--CommonStockSharesAutho"/>
            <w:bookmarkStart w:id="1221" w:name="xdx_902_eus-gaap--CommonStockSharesAutho"/>
            <w:bookmarkEnd w:id="1220"/>
            <w:bookmarkEnd w:id="1221"/>
            <w:r>
              <w:rPr/>
              <w:t xml:space="preserve">467,290,000 shares authorized, </w:t>
            </w:r>
            <w:bookmarkStart w:id="1222" w:name="xdx_90B_eus-gaap--CommonStockSharesOutst"/>
            <w:bookmarkStart w:id="1223" w:name="xdx_902_eus-gaap--CommonStockSharesIssue"/>
            <w:bookmarkStart w:id="1224" w:name="xdx_905_eus-gaap--CommonStockSharesOutst"/>
            <w:bookmarkStart w:id="1225" w:name="xdx_90C_eus-gaap--CommonStockSharesIssue"/>
            <w:bookmarkEnd w:id="1222"/>
            <w:bookmarkEnd w:id="1223"/>
            <w:bookmarkEnd w:id="1224"/>
            <w:bookmarkEnd w:id="1225"/>
            <w:r>
              <w:rPr/>
              <w:t>4,315,000 shares issued and outstanding as of March 31,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4,315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226" w:name="xdx_40E_eus-gaap--CommonStockValue_i01I_"/>
            <w:bookmarkEnd w:id="1226"/>
          </w:p>
        </w:tc>
      </w:tr>
      <w:tr>
        <w:trPr/>
        <w:tc>
          <w:tcPr>
            <w:tcW w:w="7396" w:type="dxa"/>
            <w:tcBorders/>
            <w:shd w:fill="FFFFFF" w:val="clear"/>
            <w:vAlign w:val="center"/>
          </w:tcPr>
          <w:p>
            <w:pPr>
              <w:pStyle w:val="TableContents"/>
              <w:bidi w:val="0"/>
              <w:spacing w:before="0" w:after="283"/>
              <w:jc w:val="left"/>
              <w:rPr/>
            </w:pPr>
            <w:r>
              <w:rPr/>
              <w:t>Class B Ordinary Shares (par value $</w:t>
            </w:r>
            <w:bookmarkStart w:id="1227" w:name="xdx_900_eus-gaap--CommonStockParOrStated"/>
            <w:bookmarkStart w:id="1228" w:name="xdx_90B_eus-gaap--CommonStockParOrStated"/>
            <w:bookmarkEnd w:id="1227"/>
            <w:bookmarkEnd w:id="1228"/>
            <w:r>
              <w:rPr/>
              <w:t xml:space="preserve">0.001 per share, </w:t>
            </w:r>
            <w:bookmarkStart w:id="1229" w:name="xdx_908_eus-gaap--CommonStockSharesAutho"/>
            <w:bookmarkStart w:id="1230" w:name="xdx_905_eus-gaap--CommonStockSharesAutho"/>
            <w:bookmarkEnd w:id="1229"/>
            <w:bookmarkEnd w:id="1230"/>
            <w:r>
              <w:rPr/>
              <w:t xml:space="preserve">32,710,000 shares authorized, </w:t>
            </w:r>
            <w:bookmarkStart w:id="1231" w:name="xdx_901_eus-gaap--CommonStockSharesOutst"/>
            <w:bookmarkStart w:id="1232" w:name="xdx_901_eus-gaap--CommonStockSharesIssue"/>
            <w:bookmarkStart w:id="1233" w:name="xdx_90C_eus-gaap--CommonStockSharesOutst"/>
            <w:bookmarkStart w:id="1234" w:name="xdx_908_eus-gaap--CommonStockSharesIssue"/>
            <w:bookmarkEnd w:id="1231"/>
            <w:bookmarkEnd w:id="1232"/>
            <w:bookmarkEnd w:id="1233"/>
            <w:bookmarkEnd w:id="1234"/>
            <w:r>
              <w:rPr/>
              <w:t>12,710,000 shares issued and outstanding as of 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12,710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bookmarkStart w:id="1235" w:name="xdx_40A_eus-gaap--CommonStockValue_i01I_"/>
            <w:bookmarkEnd w:id="1235"/>
          </w:p>
        </w:tc>
      </w:tr>
      <w:tr>
        <w:trPr/>
        <w:tc>
          <w:tcPr>
            <w:tcW w:w="7396" w:type="dxa"/>
            <w:tcBorders/>
            <w:shd w:fill="FFFFFF" w:val="clear"/>
            <w:vAlign w:val="center"/>
          </w:tcPr>
          <w:p>
            <w:pPr>
              <w:pStyle w:val="TableContents"/>
              <w:bidi w:val="0"/>
              <w:spacing w:before="0" w:after="283"/>
              <w:jc w:val="left"/>
              <w:rPr/>
            </w:pPr>
            <w:r>
              <w:rPr/>
              <w:t>Ordinary Shares,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12,710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bookmarkStart w:id="1236" w:name="xdx_40B_eus-gaap--CommonStockShareSubscr"/>
            <w:bookmarkEnd w:id="1236"/>
          </w:p>
        </w:tc>
      </w:tr>
      <w:tr>
        <w:trPr/>
        <w:tc>
          <w:tcPr>
            <w:tcW w:w="7396" w:type="dxa"/>
            <w:tcBorders/>
            <w:shd w:fill="CCEEFF" w:val="clear"/>
            <w:vAlign w:val="center"/>
          </w:tcPr>
          <w:p>
            <w:pPr>
              <w:pStyle w:val="TableContents"/>
              <w:bidi w:val="0"/>
              <w:spacing w:before="0" w:after="283"/>
              <w:jc w:val="left"/>
              <w:rPr/>
            </w:pPr>
            <w:r>
              <w:rPr/>
              <w:t>Subscription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(15,500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(15,500</w:t>
            </w:r>
          </w:p>
        </w:tc>
        <w:tc>
          <w:tcPr>
            <w:tcW w:w="112" w:type="dxa"/>
            <w:tcBorders/>
            <w:shd w:fill="CCEEFF" w:val="clear"/>
            <w:vAlign w:val="center"/>
          </w:tcPr>
          <w:p>
            <w:pPr>
              <w:pStyle w:val="TableContents"/>
              <w:bidi w:val="0"/>
              <w:spacing w:before="0" w:after="283"/>
              <w:jc w:val="left"/>
              <w:rPr/>
            </w:pPr>
            <w:r>
              <w:rPr/>
              <w:t>)</w:t>
            </w:r>
            <w:bookmarkStart w:id="1237" w:name="xdx_405_eus-gaap--AdditionalPaidInCapita"/>
            <w:bookmarkEnd w:id="1237"/>
          </w:p>
        </w:tc>
      </w:tr>
      <w:tr>
        <w:trPr/>
        <w:tc>
          <w:tcPr>
            <w:tcW w:w="739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6,526,821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6,544,298</w:t>
            </w:r>
          </w:p>
        </w:tc>
        <w:tc>
          <w:tcPr>
            <w:tcW w:w="112" w:type="dxa"/>
            <w:tcBorders/>
            <w:shd w:fill="FFFFFF" w:val="clear"/>
            <w:vAlign w:val="center"/>
          </w:tcPr>
          <w:p>
            <w:pPr>
              <w:pStyle w:val="TableContents"/>
              <w:bidi w:val="0"/>
              <w:spacing w:before="0" w:after="283"/>
              <w:jc w:val="left"/>
              <w:rPr/>
            </w:pPr>
            <w:r>
              <w:rPr/>
              <w:t> </w:t>
            </w:r>
            <w:bookmarkStart w:id="1238" w:name="xdx_402_ecustom--StatutoryReserves_i01I_"/>
            <w:bookmarkEnd w:id="1238"/>
          </w:p>
        </w:tc>
      </w:tr>
      <w:tr>
        <w:trPr/>
        <w:tc>
          <w:tcPr>
            <w:tcW w:w="7396" w:type="dxa"/>
            <w:tcBorders/>
            <w:shd w:fill="CCEEFF" w:val="clear"/>
            <w:vAlign w:val="center"/>
          </w:tcPr>
          <w:p>
            <w:pPr>
              <w:pStyle w:val="TableContents"/>
              <w:bidi w:val="0"/>
              <w:spacing w:before="0" w:after="283"/>
              <w:jc w:val="left"/>
              <w:rPr/>
            </w:pPr>
            <w:r>
              <w:rPr/>
              <w:t>Statutory reserves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2,592,642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2,076,469</w:t>
            </w:r>
          </w:p>
        </w:tc>
        <w:tc>
          <w:tcPr>
            <w:tcW w:w="112" w:type="dxa"/>
            <w:tcBorders/>
            <w:shd w:fill="CCEEFF" w:val="clear"/>
            <w:vAlign w:val="center"/>
          </w:tcPr>
          <w:p>
            <w:pPr>
              <w:pStyle w:val="TableContents"/>
              <w:bidi w:val="0"/>
              <w:spacing w:before="0" w:after="283"/>
              <w:jc w:val="left"/>
              <w:rPr/>
            </w:pPr>
            <w:r>
              <w:rPr/>
              <w:t> </w:t>
            </w:r>
            <w:bookmarkStart w:id="1239" w:name="xdx_402_eus-gaap--RetainedEarningsAccumu"/>
            <w:bookmarkEnd w:id="1239"/>
          </w:p>
        </w:tc>
      </w:tr>
      <w:tr>
        <w:trPr/>
        <w:tc>
          <w:tcPr>
            <w:tcW w:w="7396"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35,784,864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38,207,918</w:t>
            </w:r>
          </w:p>
        </w:tc>
        <w:tc>
          <w:tcPr>
            <w:tcW w:w="112" w:type="dxa"/>
            <w:tcBorders/>
            <w:shd w:fill="FFFFFF" w:val="clear"/>
            <w:vAlign w:val="center"/>
          </w:tcPr>
          <w:p>
            <w:pPr>
              <w:pStyle w:val="TableContents"/>
              <w:bidi w:val="0"/>
              <w:spacing w:before="0" w:after="283"/>
              <w:jc w:val="left"/>
              <w:rPr/>
            </w:pPr>
            <w:r>
              <w:rPr/>
              <w:t> </w:t>
            </w:r>
            <w:bookmarkStart w:id="1240" w:name="xdx_401_eus-gaap--AccumulatedOtherCompre"/>
            <w:bookmarkEnd w:id="1240"/>
          </w:p>
        </w:tc>
      </w:tr>
      <w:tr>
        <w:trPr/>
        <w:tc>
          <w:tcPr>
            <w:tcW w:w="739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pPr>
            <w:r>
              <w:rPr/>
              <w:t>(329,707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(1,397,475</w:t>
            </w:r>
          </w:p>
        </w:tc>
        <w:tc>
          <w:tcPr>
            <w:tcW w:w="112" w:type="dxa"/>
            <w:tcBorders/>
            <w:shd w:fill="CCEEFF" w:val="clear"/>
            <w:vAlign w:val="center"/>
          </w:tcPr>
          <w:p>
            <w:pPr>
              <w:pStyle w:val="TableContents"/>
              <w:bidi w:val="0"/>
              <w:spacing w:before="0" w:after="283"/>
              <w:jc w:val="left"/>
              <w:rPr/>
            </w:pPr>
            <w:r>
              <w:rPr/>
              <w:t>)</w:t>
            </w:r>
            <w:bookmarkStart w:id="1241" w:name="xdx_40A_eus-gaap--StockholdersEquity_i01"/>
            <w:bookmarkEnd w:id="1241"/>
          </w:p>
        </w:tc>
      </w:tr>
      <w:tr>
        <w:trPr/>
        <w:tc>
          <w:tcPr>
            <w:tcW w:w="7396"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44,576,145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45,432,735</w:t>
            </w:r>
          </w:p>
        </w:tc>
        <w:tc>
          <w:tcPr>
            <w:tcW w:w="112" w:type="dxa"/>
            <w:tcBorders/>
            <w:shd w:fill="FFFFFF" w:val="clear"/>
            <w:vAlign w:val="center"/>
          </w:tcPr>
          <w:p>
            <w:pPr>
              <w:pStyle w:val="TableContents"/>
              <w:bidi w:val="0"/>
              <w:spacing w:before="0" w:after="283"/>
              <w:jc w:val="left"/>
              <w:rPr/>
            </w:pPr>
            <w:r>
              <w:rPr/>
              <w:t> </w:t>
            </w:r>
          </w:p>
        </w:tc>
      </w:tr>
      <w:tr>
        <w:trPr/>
        <w:tc>
          <w:tcPr>
            <w:tcW w:w="73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42" w:name="xdx_400_eus-gaap--LiabilitiesAndStockhol"/>
            <w:bookmarkEnd w:id="1242"/>
          </w:p>
        </w:tc>
      </w:tr>
      <w:tr>
        <w:trPr/>
        <w:tc>
          <w:tcPr>
            <w:tcW w:w="7396"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44,576,145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45,432,735</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43" w:name="xdx_8A4_zZmsxeWNBbP2"/>
      <w:bookmarkEnd w:id="124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44" w:name="xdx_896_esrt--ScheduleOfCondensedIncomeS"/>
      <w:bookmarkEnd w:id="1244"/>
      <w:r>
        <w:rPr>
          <w:rFonts w:ascii="Times New Roman;Times;Serif" w:hAnsi="Times New Roman;Times;Serif"/>
          <w:b/>
          <w:i w:val="false"/>
          <w:caps w:val="false"/>
          <w:smallCaps w:val="false"/>
          <w:sz w:val="20"/>
        </w:rPr>
        <w:t xml:space="preserve">PARENT COMPANY STATEMENTS OF OPERATIONS AND COMPREHENSIVE LOSS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245" w:name="xdx_8B5_z540P0UVBmQa"/>
      <w:bookmarkEnd w:id="1245"/>
      <w:r>
        <w:rPr>
          <w:rFonts w:ascii="Times New Roman;Times;Serif" w:hAnsi="Times New Roman;Times;Serif"/>
          <w:b w:val="false"/>
          <w:i w:val="false"/>
          <w:caps w:val="false"/>
          <w:smallCaps w:val="false"/>
          <w:sz w:val="20"/>
        </w:rPr>
        <w:t>SCHEDULE OF PARENT COMPANY STATEMENTS OF OPERATIONS AND COMPREHENSIVE INCOME  </w:t>
      </w:r>
    </w:p>
    <w:tbl>
      <w:tblPr>
        <w:tblW w:w="6548" w:type="dxa"/>
        <w:jc w:val="left"/>
        <w:tblInd w:w="0" w:type="dxa"/>
        <w:tblLayout w:type="fixed"/>
        <w:tblCellMar>
          <w:top w:w="0" w:type="dxa"/>
          <w:left w:w="0" w:type="dxa"/>
          <w:bottom w:w="0" w:type="dxa"/>
          <w:right w:w="0" w:type="dxa"/>
        </w:tblCellMar>
      </w:tblPr>
      <w:tblGrid>
        <w:gridCol w:w="3725"/>
        <w:gridCol w:w="60"/>
        <w:gridCol w:w="146"/>
        <w:gridCol w:w="1103"/>
        <w:gridCol w:w="95"/>
        <w:gridCol w:w="60"/>
        <w:gridCol w:w="146"/>
        <w:gridCol w:w="1103"/>
        <w:gridCol w:w="11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6" w:name="xdx_49B_20251001__20260331__srt--Consoli"/>
            <w:bookmarkEnd w:id="1246"/>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7" w:name="xdx_497_20241001__20250331__srt--Consoli"/>
            <w:bookmarkEnd w:id="1247"/>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248" w:name="xdx_407_ecustom--EquityInEarningsOfSubsi"/>
            <w:bookmarkEnd w:id="1248"/>
          </w:p>
        </w:tc>
      </w:tr>
      <w:tr>
        <w:trPr/>
        <w:tc>
          <w:tcPr>
            <w:tcW w:w="3725" w:type="dxa"/>
            <w:tcBorders/>
            <w:shd w:fill="CCEEFF" w:val="clear"/>
            <w:vAlign w:val="center"/>
          </w:tcPr>
          <w:p>
            <w:pPr>
              <w:pStyle w:val="TableContents"/>
              <w:bidi w:val="0"/>
              <w:spacing w:before="0" w:after="283"/>
              <w:jc w:val="left"/>
              <w:rPr/>
            </w:pPr>
            <w:r>
              <w:rPr/>
              <w:t>Equity in loss of subsidiaries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(1,329,721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(372,214</w:t>
            </w:r>
          </w:p>
        </w:tc>
        <w:tc>
          <w:tcPr>
            <w:tcW w:w="110" w:type="dxa"/>
            <w:tcBorders/>
            <w:shd w:fill="CCEEFF" w:val="clear"/>
            <w:vAlign w:val="center"/>
          </w:tcPr>
          <w:p>
            <w:pPr>
              <w:pStyle w:val="TableContents"/>
              <w:bidi w:val="0"/>
              <w:spacing w:before="0" w:after="283"/>
              <w:jc w:val="left"/>
              <w:rPr/>
            </w:pPr>
            <w:r>
              <w:rPr/>
              <w:t>)</w:t>
            </w:r>
          </w:p>
        </w:tc>
      </w:tr>
      <w:tr>
        <w:trPr/>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9" w:name="xdx_40C_eus-gaap--OperatingExpensesAbstr"/>
            <w:bookmarkEnd w:id="1249"/>
          </w:p>
        </w:tc>
      </w:tr>
      <w:tr>
        <w:trPr/>
        <w:tc>
          <w:tcPr>
            <w:tcW w:w="372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0" w:name="xdx_408_eus-gaap--SellingAndMarketingExp"/>
            <w:bookmarkEnd w:id="1250"/>
          </w:p>
        </w:tc>
      </w:tr>
      <w:tr>
        <w:trPr/>
        <w:tc>
          <w:tcPr>
            <w:tcW w:w="372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(35,000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51" w:name="xdx_404_eus-gaap--GeneralAndAdministrati"/>
            <w:bookmarkEnd w:id="1251"/>
          </w:p>
        </w:tc>
      </w:tr>
      <w:tr>
        <w:trPr/>
        <w:tc>
          <w:tcPr>
            <w:tcW w:w="37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(403,835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(288,023</w:t>
            </w:r>
          </w:p>
        </w:tc>
        <w:tc>
          <w:tcPr>
            <w:tcW w:w="110" w:type="dxa"/>
            <w:tcBorders/>
            <w:shd w:fill="CCEEFF" w:val="clear"/>
            <w:vAlign w:val="center"/>
          </w:tcPr>
          <w:p>
            <w:pPr>
              <w:pStyle w:val="TableContents"/>
              <w:bidi w:val="0"/>
              <w:spacing w:before="0" w:after="283"/>
              <w:jc w:val="left"/>
              <w:rPr/>
            </w:pPr>
            <w:r>
              <w:rPr/>
              <w:t>)</w:t>
            </w:r>
            <w:bookmarkStart w:id="1252" w:name="xdx_40F_eus-gaap--OperatingExpenses_i01N"/>
            <w:bookmarkEnd w:id="1252"/>
          </w:p>
        </w:tc>
      </w:tr>
      <w:tr>
        <w:trPr/>
        <w:tc>
          <w:tcPr>
            <w:tcW w:w="372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(438,835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(288,023</w:t>
            </w:r>
          </w:p>
        </w:tc>
        <w:tc>
          <w:tcPr>
            <w:tcW w:w="110" w:type="dxa"/>
            <w:tcBorders/>
            <w:shd w:fill="FFFFFF" w:val="clear"/>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3" w:name="xdx_403_eus-gaap--OtherNonoperatingIncom"/>
            <w:bookmarkEnd w:id="1253"/>
          </w:p>
        </w:tc>
      </w:tr>
      <w:tr>
        <w:trPr/>
        <w:tc>
          <w:tcPr>
            <w:tcW w:w="3725" w:type="dxa"/>
            <w:tcBorders/>
            <w:shd w:fill="FFFFFF" w:val="clear"/>
            <w:vAlign w:val="center"/>
          </w:tcPr>
          <w:p>
            <w:pPr>
              <w:pStyle w:val="TableContents"/>
              <w:bidi w:val="0"/>
              <w:spacing w:before="0" w:after="283"/>
              <w:jc w:val="left"/>
              <w:rPr/>
            </w:pPr>
            <w:r>
              <w:rPr/>
              <w:t>Other (expenses) income:</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54" w:name="xdx_401_eus-gaap--OtherNonoperatingIncom"/>
            <w:bookmarkEnd w:id="1254"/>
          </w:p>
        </w:tc>
      </w:tr>
      <w:tr>
        <w:trPr/>
        <w:tc>
          <w:tcPr>
            <w:tcW w:w="3725" w:type="dxa"/>
            <w:tcBorders/>
            <w:shd w:fill="CCEEFF" w:val="clear"/>
            <w:vAlign w:val="center"/>
          </w:tcPr>
          <w:p>
            <w:pPr>
              <w:pStyle w:val="TableContents"/>
              <w:bidi w:val="0"/>
              <w:spacing w:before="0" w:after="283"/>
              <w:jc w:val="left"/>
              <w:rPr/>
            </w:pPr>
            <w:r>
              <w:rPr/>
              <w:t>Other (expenses) income,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(68,183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43,346</w:t>
            </w:r>
          </w:p>
        </w:tc>
        <w:tc>
          <w:tcPr>
            <w:tcW w:w="110" w:type="dxa"/>
            <w:tcBorders/>
            <w:shd w:fill="CCEEFF" w:val="clear"/>
            <w:vAlign w:val="center"/>
          </w:tcPr>
          <w:p>
            <w:pPr>
              <w:pStyle w:val="TableContents"/>
              <w:bidi w:val="0"/>
              <w:spacing w:before="0" w:after="283"/>
              <w:jc w:val="left"/>
              <w:rPr/>
            </w:pPr>
            <w:r>
              <w:rPr/>
              <w:t> </w:t>
            </w:r>
            <w:bookmarkStart w:id="1255" w:name="xdx_404_eus-gaap--NonoperatingIncomeExpe"/>
            <w:bookmarkEnd w:id="1255"/>
          </w:p>
        </w:tc>
      </w:tr>
      <w:tr>
        <w:trPr/>
        <w:tc>
          <w:tcPr>
            <w:tcW w:w="3725" w:type="dxa"/>
            <w:tcBorders/>
            <w:shd w:fill="FFFFFF" w:val="clear"/>
            <w:vAlign w:val="center"/>
          </w:tcPr>
          <w:p>
            <w:pPr>
              <w:pStyle w:val="TableContents"/>
              <w:bidi w:val="0"/>
              <w:spacing w:before="0" w:after="283"/>
              <w:jc w:val="left"/>
              <w:rPr/>
            </w:pPr>
            <w:r>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(68,183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43,346</w:t>
            </w:r>
          </w:p>
        </w:tc>
        <w:tc>
          <w:tcPr>
            <w:tcW w:w="11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6" w:name="xdx_404_eus-gaap--ProfitLoss_iT_pp0p0_ma"/>
            <w:bookmarkEnd w:id="1256"/>
          </w:p>
        </w:tc>
      </w:tr>
      <w:tr>
        <w:trPr/>
        <w:tc>
          <w:tcPr>
            <w:tcW w:w="37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b/>
              </w:rPr>
            </w:pPr>
            <w:r>
              <w:rPr>
                <w:b/>
              </w:rPr>
              <w:t>$</w:t>
            </w:r>
          </w:p>
        </w:tc>
        <w:tc>
          <w:tcPr>
            <w:tcW w:w="1103" w:type="dxa"/>
            <w:tcBorders/>
            <w:shd w:fill="FFFFFF" w:val="clear"/>
            <w:vAlign w:val="center"/>
          </w:tcPr>
          <w:p>
            <w:pPr>
              <w:pStyle w:val="TableContents"/>
              <w:bidi w:val="0"/>
              <w:spacing w:before="0" w:after="283"/>
              <w:jc w:val="right"/>
              <w:rPr>
                <w:b/>
              </w:rPr>
            </w:pPr>
            <w:r>
              <w:rPr>
                <w:b/>
              </w:rPr>
              <w:t>(1,836,739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b/>
              </w:rPr>
            </w:pPr>
            <w:r>
              <w:rPr>
                <w:b/>
              </w:rPr>
              <w:t>$</w:t>
            </w:r>
          </w:p>
        </w:tc>
        <w:tc>
          <w:tcPr>
            <w:tcW w:w="1103" w:type="dxa"/>
            <w:tcBorders/>
            <w:shd w:fill="FFFFFF" w:val="clear"/>
            <w:vAlign w:val="center"/>
          </w:tcPr>
          <w:p>
            <w:pPr>
              <w:pStyle w:val="TableContents"/>
              <w:bidi w:val="0"/>
              <w:spacing w:before="0" w:after="283"/>
              <w:jc w:val="right"/>
              <w:rPr>
                <w:b/>
              </w:rPr>
            </w:pPr>
            <w:r>
              <w:rPr>
                <w:b/>
              </w:rPr>
              <w:t>(616,891</w:t>
            </w:r>
          </w:p>
        </w:tc>
        <w:tc>
          <w:tcPr>
            <w:tcW w:w="110" w:type="dxa"/>
            <w:tcBorders/>
            <w:shd w:fill="FFFFFF" w:val="clear"/>
            <w:vAlign w:val="center"/>
          </w:tcPr>
          <w:p>
            <w:pPr>
              <w:pStyle w:val="TableContents"/>
              <w:bidi w:val="0"/>
              <w:spacing w:before="0" w:after="283"/>
              <w:jc w:val="left"/>
              <w:rPr>
                <w:b/>
              </w:rPr>
            </w:pPr>
            <w:r>
              <w:rPr>
                <w:b/>
              </w:rPr>
              <w:t>)</w:t>
            </w:r>
            <w:bookmarkStart w:id="1257" w:name="xdx_407_eus-gaap--OtherComprehensiveInco"/>
            <w:bookmarkEnd w:id="1257"/>
          </w:p>
        </w:tc>
      </w:tr>
      <w:tr>
        <w:trPr/>
        <w:tc>
          <w:tcPr>
            <w:tcW w:w="3725" w:type="dxa"/>
            <w:tcBorders/>
            <w:shd w:fill="CCEEFF" w:val="clear"/>
            <w:vAlign w:val="center"/>
          </w:tcPr>
          <w:p>
            <w:pPr>
              <w:pStyle w:val="TableContents"/>
              <w:bidi w:val="0"/>
              <w:spacing w:before="0" w:after="283"/>
              <w:jc w:val="left"/>
              <w:rPr/>
            </w:pPr>
            <w:r>
              <w:rPr/>
              <w:t>Foreign currency translation gain (loss)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1,067,768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(928,194</w:t>
            </w:r>
          </w:p>
        </w:tc>
        <w:tc>
          <w:tcPr>
            <w:tcW w:w="110" w:type="dxa"/>
            <w:tcBorders/>
            <w:shd w:fill="CCEEFF" w:val="clear"/>
            <w:vAlign w:val="center"/>
          </w:tcPr>
          <w:p>
            <w:pPr>
              <w:pStyle w:val="TableContents"/>
              <w:bidi w:val="0"/>
              <w:spacing w:before="0" w:after="283"/>
              <w:jc w:val="left"/>
              <w:rPr/>
            </w:pPr>
            <w:r>
              <w:rPr/>
              <w:t>)</w:t>
            </w:r>
            <w:bookmarkStart w:id="1258" w:name="xdx_40A_eus-gaap--ComprehensiveIncomeNet"/>
            <w:bookmarkEnd w:id="1258"/>
          </w:p>
        </w:tc>
      </w:tr>
      <w:tr>
        <w:trPr/>
        <w:tc>
          <w:tcPr>
            <w:tcW w:w="3725"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(768,971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(1,545,085</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bookmarkStart w:id="1259" w:name="xdx_8A4_zPElGArSIr3b"/>
      <w:bookmarkEnd w:id="125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60" w:name="xdx_891_esrt--ScheduleOfCondensedCashFlo"/>
      <w:bookmarkEnd w:id="1260"/>
      <w:r>
        <w:rPr>
          <w:rFonts w:ascii="Times New Roman;Times;Serif" w:hAnsi="Times New Roman;Times;Serif"/>
          <w:b/>
          <w:i w:val="false"/>
          <w:caps w:val="false"/>
          <w:smallCaps w:val="false"/>
          <w:sz w:val="20"/>
        </w:rPr>
        <w:t>PARENT COMPANY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61" w:name="xdx_8BF_zwzGCalSwHH7"/>
      <w:bookmarkEnd w:id="1261"/>
      <w:r>
        <w:rPr>
          <w:rFonts w:ascii="Times New Roman;Times;Serif" w:hAnsi="Times New Roman;Times;Serif"/>
          <w:b w:val="false"/>
          <w:i w:val="false"/>
          <w:caps w:val="false"/>
          <w:smallCaps w:val="false"/>
          <w:sz w:val="20"/>
        </w:rPr>
        <w:t>SCHEDULE OF PARENT COMPANY STATEMENTS OF CASH FLOWS </w:t>
      </w:r>
    </w:p>
    <w:tbl>
      <w:tblPr>
        <w:tblW w:w="9653" w:type="dxa"/>
        <w:jc w:val="left"/>
        <w:tblInd w:w="0" w:type="dxa"/>
        <w:tblLayout w:type="fixed"/>
        <w:tblCellMar>
          <w:top w:w="0" w:type="dxa"/>
          <w:left w:w="0" w:type="dxa"/>
          <w:bottom w:w="0" w:type="dxa"/>
          <w:right w:w="0" w:type="dxa"/>
        </w:tblCellMar>
      </w:tblPr>
      <w:tblGrid>
        <w:gridCol w:w="6830"/>
        <w:gridCol w:w="60"/>
        <w:gridCol w:w="146"/>
        <w:gridCol w:w="1103"/>
        <w:gridCol w:w="95"/>
        <w:gridCol w:w="60"/>
        <w:gridCol w:w="155"/>
        <w:gridCol w:w="1094"/>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2" w:name="xdx_496_20251001__20260331__srt--Consoli"/>
            <w:bookmarkEnd w:id="1262"/>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3" w:name="xdx_492_20241001__20250331__srt--Consoli"/>
            <w:bookmarkEnd w:id="1263"/>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bookmarkStart w:id="1264" w:name="xdx_402_eus-gaap--NetCashProvidedByUsedI"/>
            <w:bookmarkEnd w:id="1264"/>
          </w:p>
        </w:tc>
      </w:tr>
      <w:tr>
        <w:trPr/>
        <w:tc>
          <w:tcPr>
            <w:tcW w:w="68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5" w:name="xdx_40C_eus-gaap--NetIncomeLoss_i01_maNC"/>
            <w:bookmarkEnd w:id="1265"/>
          </w:p>
        </w:tc>
      </w:tr>
      <w:tr>
        <w:trPr/>
        <w:tc>
          <w:tcPr>
            <w:tcW w:w="68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(1,836,739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(616,891</w:t>
            </w:r>
          </w:p>
        </w:tc>
        <w:tc>
          <w:tcPr>
            <w:tcW w:w="110" w:type="dxa"/>
            <w:tcBorders/>
            <w:shd w:fill="FFFFFF" w:val="clear"/>
            <w:vAlign w:val="center"/>
          </w:tcPr>
          <w:p>
            <w:pPr>
              <w:pStyle w:val="TableContents"/>
              <w:bidi w:val="0"/>
              <w:spacing w:before="0" w:after="283"/>
              <w:jc w:val="left"/>
              <w:rPr/>
            </w:pPr>
            <w:r>
              <w:rPr/>
              <w:t>)</w:t>
            </w:r>
            <w:bookmarkStart w:id="1266" w:name="xdx_40C_eus-gaap--AdjustmentsToReconcile"/>
            <w:bookmarkEnd w:id="1266"/>
          </w:p>
        </w:tc>
      </w:tr>
      <w:tr>
        <w:trPr/>
        <w:tc>
          <w:tcPr>
            <w:tcW w:w="68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7" w:name="xdx_402_ecustom--EquityInLossOfSubsidiar"/>
            <w:bookmarkEnd w:id="1267"/>
          </w:p>
        </w:tc>
      </w:tr>
      <w:tr>
        <w:trPr/>
        <w:tc>
          <w:tcPr>
            <w:tcW w:w="6830" w:type="dxa"/>
            <w:tcBorders/>
            <w:shd w:fill="FFFFFF" w:val="clear"/>
            <w:vAlign w:val="center"/>
          </w:tcPr>
          <w:p>
            <w:pPr>
              <w:pStyle w:val="TableContents"/>
              <w:bidi w:val="0"/>
              <w:spacing w:before="0" w:after="283"/>
              <w:jc w:val="left"/>
              <w:rPr/>
            </w:pPr>
            <w:r>
              <w:rPr/>
              <w:t>Equity in loss of subsidiaries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1,329,721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372,214</w:t>
            </w:r>
          </w:p>
        </w:tc>
        <w:tc>
          <w:tcPr>
            <w:tcW w:w="110" w:type="dxa"/>
            <w:tcBorders/>
            <w:shd w:fill="FFFFFF" w:val="clear"/>
            <w:vAlign w:val="center"/>
          </w:tcPr>
          <w:p>
            <w:pPr>
              <w:pStyle w:val="TableContents"/>
              <w:bidi w:val="0"/>
              <w:spacing w:before="0" w:after="283"/>
              <w:jc w:val="left"/>
              <w:rPr/>
            </w:pPr>
            <w:r>
              <w:rPr/>
              <w:t> </w:t>
            </w:r>
            <w:bookmarkStart w:id="1268" w:name="xdx_409_eus-gaap--IncreaseDecreaseInOthe"/>
            <w:bookmarkEnd w:id="1268"/>
          </w:p>
        </w:tc>
      </w:tr>
      <w:tr>
        <w:trPr/>
        <w:tc>
          <w:tcPr>
            <w:tcW w:w="6830" w:type="dxa"/>
            <w:tcBorders/>
            <w:shd w:fill="CCEEFF" w:val="clear"/>
            <w:vAlign w:val="center"/>
          </w:tcPr>
          <w:p>
            <w:pPr>
              <w:pStyle w:val="TableContents"/>
              <w:bidi w:val="0"/>
              <w:spacing w:before="0" w:after="283"/>
              <w:jc w:val="left"/>
              <w:rPr/>
            </w:pPr>
            <w:r>
              <w:rPr/>
              <w:t>Changes in other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bookmarkStart w:id="1269" w:name="xdx_407_eus-gaap--IncreaseDecreaseInOthe"/>
            <w:bookmarkEnd w:id="1269"/>
          </w:p>
        </w:tc>
      </w:tr>
      <w:tr>
        <w:trPr/>
        <w:tc>
          <w:tcPr>
            <w:tcW w:w="6830" w:type="dxa"/>
            <w:tcBorders/>
            <w:shd w:fill="FFFFFF" w:val="clear"/>
            <w:vAlign w:val="center"/>
          </w:tcPr>
          <w:p>
            <w:pPr>
              <w:pStyle w:val="TableContents"/>
              <w:bidi w:val="0"/>
              <w:spacing w:before="0" w:after="283"/>
              <w:jc w:val="left"/>
              <w:rPr/>
            </w:pPr>
            <w:r>
              <w:rPr/>
              <w:t>Changes in due from a subsidiary</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0" w:name="xdx_408_eus-gaap--NetCashProvidedByUsedI"/>
            <w:bookmarkEnd w:id="1270"/>
          </w:p>
        </w:tc>
      </w:tr>
      <w:tr>
        <w:trPr/>
        <w:tc>
          <w:tcPr>
            <w:tcW w:w="683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(607,018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(244,777</w:t>
            </w:r>
          </w:p>
        </w:tc>
        <w:tc>
          <w:tcPr>
            <w:tcW w:w="110" w:type="dxa"/>
            <w:tcBorders/>
            <w:shd w:fill="CCEEFF" w:val="clear"/>
            <w:vAlign w:val="center"/>
          </w:tcPr>
          <w:p>
            <w:pPr>
              <w:pStyle w:val="TableContents"/>
              <w:bidi w:val="0"/>
              <w:spacing w:before="0" w:after="283"/>
              <w:jc w:val="left"/>
              <w:rPr>
                <w:b/>
              </w:rPr>
            </w:pPr>
            <w:r>
              <w:rPr>
                <w:b/>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1" w:name="xdx_402_eus-gaap--NetCashProvidedByUsedI"/>
            <w:bookmarkEnd w:id="1271"/>
          </w:p>
        </w:tc>
      </w:tr>
      <w:tr>
        <w:trPr/>
        <w:tc>
          <w:tcPr>
            <w:tcW w:w="683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72" w:name="xdx_40D_eus-gaap--ProceedsFromIssuanceIn"/>
            <w:bookmarkEnd w:id="1272"/>
          </w:p>
        </w:tc>
      </w:tr>
      <w:tr>
        <w:trPr/>
        <w:tc>
          <w:tcPr>
            <w:tcW w:w="6830" w:type="dxa"/>
            <w:tcBorders/>
            <w:shd w:fill="FFFFFF" w:val="clear"/>
            <w:vAlign w:val="center"/>
          </w:tcPr>
          <w:p>
            <w:pPr>
              <w:pStyle w:val="TableContents"/>
              <w:bidi w:val="0"/>
              <w:spacing w:before="0" w:after="283"/>
              <w:jc w:val="left"/>
              <w:rPr/>
            </w:pPr>
            <w:r>
              <w:rPr/>
              <w:t>Net proceeds from initial public offering</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5,380,488</w:t>
            </w:r>
          </w:p>
        </w:tc>
        <w:tc>
          <w:tcPr>
            <w:tcW w:w="110" w:type="dxa"/>
            <w:tcBorders/>
            <w:shd w:fill="FFFFFF" w:val="clear"/>
            <w:vAlign w:val="center"/>
          </w:tcPr>
          <w:p>
            <w:pPr>
              <w:pStyle w:val="TableContents"/>
              <w:bidi w:val="0"/>
              <w:spacing w:before="0" w:after="283"/>
              <w:jc w:val="left"/>
              <w:rPr/>
            </w:pPr>
            <w:r>
              <w:rPr/>
              <w:t> </w:t>
            </w:r>
            <w:bookmarkStart w:id="1273" w:name="xdx_40C_eus-gaap--NetCashProvidedByUsedI"/>
            <w:bookmarkEnd w:id="1273"/>
          </w:p>
        </w:tc>
      </w:tr>
      <w:tr>
        <w:trPr/>
        <w:tc>
          <w:tcPr>
            <w:tcW w:w="683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5,380,488</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4" w:name="xdx_406_eus-gaap--CashCashEquivalentsRes"/>
            <w:bookmarkEnd w:id="1274"/>
          </w:p>
        </w:tc>
      </w:tr>
      <w:tr>
        <w:trPr/>
        <w:tc>
          <w:tcPr>
            <w:tcW w:w="6830" w:type="dxa"/>
            <w:tcBorders/>
            <w:shd w:fill="CCEEFF" w:val="clear"/>
            <w:vAlign w:val="center"/>
          </w:tcPr>
          <w:p>
            <w:pPr>
              <w:pStyle w:val="TableContents"/>
              <w:bidi w:val="0"/>
              <w:spacing w:before="0" w:after="283"/>
              <w:jc w:val="left"/>
              <w:rPr>
                <w:b/>
              </w:rPr>
            </w:pPr>
            <w:r>
              <w:rPr>
                <w:b/>
              </w:rPr>
              <w:t>Net change in cash</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CCEEFF" w:val="clear"/>
            <w:tcMar>
              <w:bottom w:w="28" w:type="dxa"/>
            </w:tcMar>
            <w:vAlign w:val="center"/>
          </w:tcPr>
          <w:p>
            <w:pPr>
              <w:pStyle w:val="TableContents"/>
              <w:bidi w:val="0"/>
              <w:spacing w:before="0" w:after="283"/>
              <w:jc w:val="right"/>
              <w:rPr/>
            </w:pPr>
            <w:r>
              <w:rPr/>
              <w:t>(607,018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5,135,711</w:t>
            </w:r>
          </w:p>
        </w:tc>
        <w:tc>
          <w:tcPr>
            <w:tcW w:w="110" w:type="dxa"/>
            <w:tcBorders/>
            <w:shd w:fill="CCEEFF" w:val="clear"/>
            <w:vAlign w:val="center"/>
          </w:tcPr>
          <w:p>
            <w:pPr>
              <w:pStyle w:val="TableContents"/>
              <w:bidi w:val="0"/>
              <w:spacing w:before="0" w:after="283"/>
              <w:jc w:val="left"/>
              <w:rPr/>
            </w:pPr>
            <w:r>
              <w:rPr/>
              <w:t> </w:t>
            </w:r>
            <w:bookmarkStart w:id="1275" w:name="xdx_40C_eus-gaap--CashCashEquivalentsRes"/>
            <w:bookmarkEnd w:id="1275"/>
          </w:p>
        </w:tc>
      </w:tr>
      <w:tr>
        <w:trPr/>
        <w:tc>
          <w:tcPr>
            <w:tcW w:w="6830" w:type="dxa"/>
            <w:tcBorders/>
            <w:shd w:fill="FFFFFF" w:val="clear"/>
            <w:vAlign w:val="center"/>
          </w:tcPr>
          <w:p>
            <w:pPr>
              <w:pStyle w:val="TableContents"/>
              <w:bidi w:val="0"/>
              <w:spacing w:before="0" w:after="283"/>
              <w:jc w:val="left"/>
              <w:rPr>
                <w:b/>
              </w:rPr>
            </w:pPr>
            <w:r>
              <w:rPr>
                <w:b/>
              </w:rPr>
              <w:t>Cash at the beginning of the period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8" w:space="0" w:color="000000"/>
            </w:tcBorders>
            <w:shd w:fill="FFFFFF" w:val="clear"/>
            <w:tcMar>
              <w:bottom w:w="28" w:type="dxa"/>
            </w:tcMar>
            <w:vAlign w:val="center"/>
          </w:tcPr>
          <w:p>
            <w:pPr>
              <w:pStyle w:val="TableContents"/>
              <w:bidi w:val="0"/>
              <w:spacing w:before="0" w:after="283"/>
              <w:jc w:val="right"/>
              <w:rPr/>
            </w:pPr>
            <w:r>
              <w:rPr/>
              <w:t>3,497,762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276" w:name="xdx_40F_eus-gaap--CashCashEquivalentsRes"/>
            <w:bookmarkEnd w:id="1276"/>
          </w:p>
        </w:tc>
      </w:tr>
      <w:tr>
        <w:trPr/>
        <w:tc>
          <w:tcPr>
            <w:tcW w:w="6830" w:type="dxa"/>
            <w:tcBorders/>
            <w:shd w:fill="CCEEFF" w:val="clear"/>
            <w:vAlign w:val="center"/>
          </w:tcPr>
          <w:p>
            <w:pPr>
              <w:pStyle w:val="TableContents"/>
              <w:bidi w:val="0"/>
              <w:spacing w:before="0" w:after="283"/>
              <w:jc w:val="left"/>
              <w:rPr>
                <w:b/>
              </w:rPr>
            </w:pPr>
            <w:r>
              <w:rPr>
                <w:b/>
              </w:rPr>
              <w:t>Cash at the end of the period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2,890,744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9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5,135,711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277" w:name="xdx_8AC_zpL9wVSiIxJa"/>
      <w:bookmarkEnd w:id="127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278" w:name="ex99-2.htm"/>
      <w:bookmarkStart w:id="1279" w:name="ksex992"/>
      <w:bookmarkEnd w:id="1278"/>
      <w:bookmarkEnd w:id="12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unaudited condensed consolidated financial statements and related notes that appear in this interim report. In addition to historical consolidated financial information, the following discussion contains forward-looking statements that reflect our plans, estimates, and beliefs. Our actual results could differ materially from those discussed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Leishen Energy Holding Co., Ltd. (“Leishen Cayman”) was incorporated under the laws of Cayman Islands as an exempted company with limited liability on October 19, 2022. As a holding company with no material operations, Leishen Cayman conducts substantially all of its operations through its operating subsidiaries (collectively, the “Company”) in the PRC. The Company is a provider of clean-energy equipment and integrated solutions to the oil and gas industry, with a commitment to providing customers with high-performance, safe and cost-effective energy solutions. The Company’s major businesses segments include (i) clean-energy equipment; (ii) oil and gas engineering technical services; (iii) new energy production and operation; and (iv) digitalization and integration equipment. At present, the Company holds 102 invention and utility model patents, 3 trademarks and 8 software copyrights.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Leishen Cayman (Nasdaq: LSE) consummated its initial public offering (the “IPO”) of 1,375,000 ordinary shares, par value $0.001 at $4.00 per share (each, an “Ordinary Share”), with gross proceeds of $5.5 million. On January 8, 2025, Leishen Cayman issued and sold 150,000 additional Ordinary Shares at $4.00 per share, pursuant to the partial exercise of the Over-Allotment Option, resulting in additional gross proceeds of $600,000. As a result, Leishen Cayman raised aggregate gross proceeds of $6.1 million in the IPO. After deducting underwriting discounts and commissions, the Company received total net proceeds of $5.4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27, 2025, the Company’s shareholders approved an amendment to the memorandum and articles of association to adopt a dual-class share structure. The authorized share capital of the Company is US$50,000 divided into 467,290,000 Class A Ordinary Shares of a nominal or par value of US$0.001 each and 32,710,000 Class B Ordinary Shares of a nominal or par value of US$0.001 each. All of the issued and outstanding ordinary shares (except the 6,355,000 and 6,355,000 held by Polar Energy Company Limited and WISE-POWER ENERGY SERVICES CO., LTD., respectively, were re-designated into Class A ordinary shares of par value US$0.001 each; the 6,355,000 and 6,355,000 Ordinary Shares held by Polar Energy Company Limited and WISEPOWER ENERGY SERVICES CO., LTD., respectively, were re-designated into class B ordinary shares of a par value of US$0.001 each; 20,000,000 of the authorized but unissued ordinary shares were re-designated into Class B ordinary shares of par value US$0.001 each; and all of the remaining authorized but unissued ordinary shares were re-designated into Class A ordinary shares of par value US$0.001 each. Under the new structure, the Company’s share capital consists of Class A Ordinary Shares and Class B Ordinary Shares. Each Class A Ordinary Share carries one (1) vote per share, and each Class B Ordinary Share carries twenty-five (25) votes per share and the other rights attached to it as set out in the Company’s amended and restated memorandum and articles.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structure as of March 31, 2026 was as follows:</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10477500" cy="5724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0477500" cy="5724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subsidiaries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19"/>
        <w:gridCol w:w="60"/>
        <w:gridCol w:w="1277"/>
        <w:gridCol w:w="60"/>
        <w:gridCol w:w="1314"/>
        <w:gridCol w:w="60"/>
        <w:gridCol w:w="1144"/>
        <w:gridCol w:w="60"/>
        <w:gridCol w:w="3611"/>
      </w:tblGrid>
      <w:tr>
        <w:trPr/>
        <w:tc>
          <w:tcPr>
            <w:tcW w:w="2619"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Legal Entity</w:t>
            </w:r>
          </w:p>
        </w:tc>
        <w:tc>
          <w:tcPr>
            <w:tcW w:w="60" w:type="dxa"/>
            <w:tcBorders/>
            <w:tcMar>
              <w:bottom w:w="0" w:type="dxa"/>
            </w:tcMar>
            <w:vAlign w:val="center"/>
          </w:tcPr>
          <w:p>
            <w:pPr>
              <w:pStyle w:val="TableContents"/>
              <w:bidi w:val="0"/>
              <w:spacing w:before="0" w:after="283"/>
              <w:jc w:val="center"/>
              <w:rPr/>
            </w:pPr>
            <w:r>
              <w:rPr/>
              <w:t> </w:t>
            </w:r>
          </w:p>
        </w:tc>
        <w:tc>
          <w:tcPr>
            <w:tcW w:w="1277"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Place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31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 of</w:t>
              <w:br/>
              <w:t>Incorporation</w:t>
            </w:r>
          </w:p>
        </w:tc>
        <w:tc>
          <w:tcPr>
            <w:tcW w:w="60" w:type="dxa"/>
            <w:tcBorders/>
            <w:tcMar>
              <w:bottom w:w="0" w:type="dxa"/>
            </w:tcMar>
            <w:vAlign w:val="center"/>
          </w:tcPr>
          <w:p>
            <w:pPr>
              <w:pStyle w:val="TableContents"/>
              <w:bidi w:val="0"/>
              <w:spacing w:before="0" w:after="283"/>
              <w:jc w:val="center"/>
              <w:rPr/>
            </w:pPr>
            <w:r>
              <w:rPr/>
              <w:t> </w:t>
            </w:r>
          </w:p>
        </w:tc>
        <w:tc>
          <w:tcPr>
            <w:tcW w:w="114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beneficial ownership</w:t>
            </w:r>
          </w:p>
        </w:tc>
        <w:tc>
          <w:tcPr>
            <w:tcW w:w="60" w:type="dxa"/>
            <w:tcBorders/>
            <w:tcMar>
              <w:bottom w:w="0" w:type="dxa"/>
            </w:tcMar>
            <w:vAlign w:val="center"/>
          </w:tcPr>
          <w:p>
            <w:pPr>
              <w:pStyle w:val="TableContents"/>
              <w:bidi w:val="0"/>
              <w:spacing w:before="0" w:after="283"/>
              <w:jc w:val="center"/>
              <w:rPr/>
            </w:pPr>
            <w:r>
              <w:rPr/>
              <w:t> </w:t>
            </w:r>
          </w:p>
        </w:tc>
        <w:tc>
          <w:tcPr>
            <w:tcW w:w="3611"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activities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Leishen Energy Holding Co., Ltd (“Leishen Cayman”)</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19, 2022</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pPr>
            <w:r>
              <w:rPr/>
              <w:t>—</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Holding company</w:t>
            </w:r>
          </w:p>
        </w:tc>
      </w:tr>
      <w:tr>
        <w:trPr/>
        <w:tc>
          <w:tcPr>
            <w:tcW w:w="2619" w:type="dxa"/>
            <w:tcBorders/>
            <w:tcMar>
              <w:bottom w:w="0" w:type="dxa"/>
            </w:tcMar>
            <w:vAlign w:val="center"/>
          </w:tcPr>
          <w:p>
            <w:pPr>
              <w:pStyle w:val="TableContents"/>
              <w:bidi w:val="0"/>
              <w:spacing w:before="0" w:after="283"/>
              <w:jc w:val="left"/>
              <w:rPr/>
            </w:pPr>
            <w:r>
              <w:rPr>
                <w:rFonts w:ascii="Times New Roman;Times;Serif" w:hAnsi="Times New Roman;Times;Serif"/>
                <w:sz w:val="20"/>
              </w:rPr>
              <w:t>Leishen Energy Group Holding Co.</w:t>
            </w:r>
            <w:r>
              <w:rPr>
                <w:rFonts w:eastAsia="Times New Roman;Times;Serif"/>
                <w:sz w:val="20"/>
              </w:rPr>
              <w:t>，</w:t>
            </w:r>
            <w:r>
              <w:rPr>
                <w:rFonts w:ascii="Times New Roman;Times;Serif" w:hAnsi="Times New Roman;Times;Serif"/>
                <w:sz w:val="20"/>
              </w:rPr>
              <w:t>Ltd. (“Leishen (Holding) Hong Kong”)</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Hongkong,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25, 2022</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Holding company</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Leishen Energy Group Co., Ltd. (“Leishen Hong Kong”)</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Hongkong,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11, 2010</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oil and gas professional equipment and instruments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ZJY Technologies Co., Ltd. (“ZJY Technologies”)</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Beijing,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2, 2007</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 and sale of oil and gas professional equipment and after-sales support, and oilfield digitalization and integration service</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Oil Blue Ocean Petroleum Technology Inc. (“China Oil Blue Ocean”)</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Beijing,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October 19, 2007</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 and sale of oil and gas equipment and instruments, and engineering technology services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Leishen Energy Technology (Nanjing) Co.,Ltd. (“Leishen Nanjing”)</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Nanjing,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27, 2022</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oil and gas professional equipment and instruments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Leishen Green Energy Technology Development Co., Ltd. (“Beijing Leishen Green Energy”) </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Beijing,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29, 2018</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business operations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Leishen Energy Technology (Shandong) Co., Ltd. (“Leishen Shandong”)</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Shandong,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14, 2010</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oil and gas professional equipment and instruments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Leishen Energy Services Co., Ltd. (“Leishen Services”)</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Shandong,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23, 2019</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business operations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Sichuan Leishen Hongzhuo Energy Development Co., Ltd. (“Sichuan Leishen Hongzhuo”)</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Chengdu,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16, 2019</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Production, storage and transportation of natural gas (LNG/CNG)</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Sichuan Huayou Huitong New Material Co. Ltd. (“Huayou Huitong”)</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Chengdu,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29, 2020</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Production and sales of bonded composite pipes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Xinjiang Breslin Oil and Gas Service Co., Ltd. (“Xinjiang Breslin”)</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Xinjiang,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22, 2024</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oil and gas professional equipment and instruments, and sales of oil and gas engineering technical service</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Lionize Engineering Technology Limited</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Hongkong,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February 21, 2025</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business operations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Suqian Hanmo Energy Service Co., Ltd. (“Suqian Hanmo”)</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Jiangsu,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21, 2025</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oil and gas professional equipment and instruments, and sales of oil and gas engineering technical service</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LSE Energy International Co., Ltd (“LSE Energy International”)</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Saudi Aribia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29, 2025</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business operations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LSE Energy America Inc (“LSE Energy America”)</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14, 2025</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business operations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Oil Blue Ocean Hydrogen Energy Technology Co., Ltd (“China Oil Hydrogen Energy”)</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Beijing,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5, 2025</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business operations</w:t>
            </w:r>
          </w:p>
        </w:tc>
      </w:tr>
      <w:tr>
        <w:trPr/>
        <w:tc>
          <w:tcPr>
            <w:tcW w:w="2619"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Oil Blue Ocean Equipment (Sichuan) Co., Ltd</w:t>
            </w:r>
          </w:p>
        </w:tc>
        <w:tc>
          <w:tcPr>
            <w:tcW w:w="60" w:type="dxa"/>
            <w:tcBorders/>
            <w:tcMar>
              <w:bottom w:w="0" w:type="dxa"/>
            </w:tcMar>
            <w:vAlign w:val="center"/>
          </w:tcPr>
          <w:p>
            <w:pPr>
              <w:pStyle w:val="TableContents"/>
              <w:bidi w:val="0"/>
              <w:spacing w:before="0" w:after="283"/>
              <w:jc w:val="left"/>
              <w:rPr/>
            </w:pPr>
            <w:r>
              <w:rPr/>
              <w:t> </w:t>
            </w:r>
          </w:p>
        </w:tc>
        <w:tc>
          <w:tcPr>
            <w:tcW w:w="127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Chengdu, China</w:t>
            </w:r>
          </w:p>
        </w:tc>
        <w:tc>
          <w:tcPr>
            <w:tcW w:w="60" w:type="dxa"/>
            <w:tcBorders/>
            <w:tcMar>
              <w:bottom w:w="0" w:type="dxa"/>
            </w:tcMar>
            <w:vAlign w:val="center"/>
          </w:tcPr>
          <w:p>
            <w:pPr>
              <w:pStyle w:val="TableContents"/>
              <w:bidi w:val="0"/>
              <w:spacing w:before="0" w:after="283"/>
              <w:jc w:val="left"/>
              <w:rPr/>
            </w:pPr>
            <w:r>
              <w:rPr/>
              <w:t> </w:t>
            </w:r>
          </w:p>
        </w:tc>
        <w:tc>
          <w:tcPr>
            <w:tcW w:w="131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11, 2025</w:t>
            </w:r>
          </w:p>
        </w:tc>
        <w:tc>
          <w:tcPr>
            <w:tcW w:w="60" w:type="dxa"/>
            <w:tcBorders/>
            <w:tcMar>
              <w:bottom w:w="0" w:type="dxa"/>
            </w:tcMar>
            <w:vAlign w:val="center"/>
          </w:tcPr>
          <w:p>
            <w:pPr>
              <w:pStyle w:val="TableContents"/>
              <w:bidi w:val="0"/>
              <w:spacing w:before="0" w:after="283"/>
              <w:jc w:val="left"/>
              <w:rPr/>
            </w:pPr>
            <w:r>
              <w:rPr/>
              <w:t> </w:t>
            </w:r>
          </w:p>
        </w:tc>
        <w:tc>
          <w:tcPr>
            <w:tcW w:w="1144"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tcMar>
              <w:bottom w:w="0" w:type="dxa"/>
            </w:tcMar>
            <w:vAlign w:val="center"/>
          </w:tcPr>
          <w:p>
            <w:pPr>
              <w:pStyle w:val="TableContents"/>
              <w:bidi w:val="0"/>
              <w:spacing w:before="0" w:after="283"/>
              <w:jc w:val="left"/>
              <w:rPr/>
            </w:pPr>
            <w:r>
              <w:rPr/>
              <w:t> </w:t>
            </w:r>
          </w:p>
        </w:tc>
        <w:tc>
          <w:tcPr>
            <w:tcW w:w="361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and sale of oil and gas professional equipment and instruments, and sales of oil and gas engineering technical service</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Six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March 31, 2026 and 2025, and provides information regarding the dollar and percentage change during the six months.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9"/>
        <w:gridCol w:w="60"/>
        <w:gridCol w:w="140"/>
        <w:gridCol w:w="1175"/>
        <w:gridCol w:w="95"/>
        <w:gridCol w:w="60"/>
        <w:gridCol w:w="80"/>
        <w:gridCol w:w="750"/>
        <w:gridCol w:w="235"/>
        <w:gridCol w:w="60"/>
        <w:gridCol w:w="140"/>
        <w:gridCol w:w="1175"/>
        <w:gridCol w:w="95"/>
        <w:gridCol w:w="60"/>
        <w:gridCol w:w="80"/>
        <w:gridCol w:w="750"/>
        <w:gridCol w:w="235"/>
        <w:gridCol w:w="60"/>
        <w:gridCol w:w="140"/>
        <w:gridCol w:w="1055"/>
        <w:gridCol w:w="95"/>
        <w:gridCol w:w="60"/>
        <w:gridCol w:w="60"/>
        <w:gridCol w:w="635"/>
        <w:gridCol w:w="251"/>
      </w:tblGrid>
      <w:tr>
        <w:trPr/>
        <w:tc>
          <w:tcPr>
            <w:tcW w:w="26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3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251"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Variance</w:t>
            </w:r>
          </w:p>
        </w:tc>
        <w:tc>
          <w:tcPr>
            <w:tcW w:w="251"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 of </w:t>
              <w:br/>
              <w:t>revenue</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 of </w:t>
              <w:br/>
              <w:t>revenue</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51" w:type="dxa"/>
            <w:tcBorders/>
            <w:vAlign w:val="center"/>
          </w:tcPr>
          <w:p>
            <w:pPr>
              <w:pStyle w:val="TableContents"/>
              <w:bidi w:val="0"/>
              <w:spacing w:before="0" w:after="283"/>
              <w:jc w:val="left"/>
              <w:rPr/>
            </w:pPr>
            <w:r>
              <w:rPr/>
              <w:t> </w:t>
            </w:r>
          </w:p>
        </w:tc>
      </w:tr>
      <w:tr>
        <w:trPr/>
        <w:tc>
          <w:tcPr>
            <w:tcW w:w="2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pPr>
            <w:r>
              <w:rPr/>
              <w:t> </w:t>
            </w:r>
          </w:p>
        </w:tc>
        <w:tc>
          <w:tcPr>
            <w:tcW w:w="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251" w:type="dxa"/>
            <w:tcBorders/>
            <w:vAlign w:val="center"/>
          </w:tcPr>
          <w:p>
            <w:pPr>
              <w:pStyle w:val="TableContents"/>
              <w:bidi w:val="0"/>
              <w:spacing w:before="0" w:after="283"/>
              <w:jc w:val="left"/>
              <w:rPr/>
            </w:pPr>
            <w:r>
              <w:rPr/>
              <w:t> </w:t>
            </w:r>
          </w:p>
        </w:tc>
      </w:tr>
      <w:tr>
        <w:trPr/>
        <w:tc>
          <w:tcPr>
            <w:tcW w:w="2659"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20,978,428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28,195,284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(7,216,856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(15,753,600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(23,256,253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7,502,653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5,224,828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4,939,031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1,535,890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2,133,900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3,045,282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(911,382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3,317,683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(1,171,764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5,913,157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7,161,279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(1,248,122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(688,329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(2,222,248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(69.0</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251" w:type="dxa"/>
            <w:tcBorders/>
            <w:shd w:fill="FFFFFF" w:val="clear"/>
            <w:vAlign w:val="center"/>
          </w:tcPr>
          <w:p>
            <w:pPr>
              <w:pStyle w:val="TableContents"/>
              <w:bidi w:val="0"/>
              <w:spacing w:before="0" w:after="283"/>
              <w:jc w:val="left"/>
              <w:rPr/>
            </w:pPr>
            <w:r>
              <w:rPr/>
              <w:t> </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(loss) gains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(0.8</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(213,366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(465.9</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equity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investment (loss) gain from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(1,064,172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(1,890,325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from loans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0.2</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(288,176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(404,487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(347.8</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(expenses)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(1,265,584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1,268,228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(2,533,812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(1,953,913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(954,020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(999,893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104.8</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(117,174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(131,809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(900.6</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(1,836,739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(968,655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(868,084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attributable to Leishen Energy Holding Co., Ltd.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(1,836,739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(624,415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(1,212,324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w:t>
            </w:r>
          </w:p>
        </w:tc>
        <w:tc>
          <w:tcPr>
            <w:tcW w:w="2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have four revenue streams: clean-energy equipment sales, digitalization and integration equipment sales, new energy sales and delivery of oil and gas field engineering technical services. Revenues decreased by $7,216,856, or 25.6%, to $20,978,428 for the six months ended March 31, 2026 from $28,195,284 for the six months ended March 31, 2025. The decrease in our total revenues was primarily attributable to ongoing initiative to scale-back our lower-margin businesses within our new energy and digitalization and integration equipment segments, which objective is to enhance our overall gross profit. The Company expects that among its four revenue streams, clean-energy equipment sales and oil and gas field engineering technical services should remain stable or grow modestly, while digitalization and integration equipment sales and new energy sales would decline in the near term due to the proactive scale-back of lower-margin businesses; however, as the Company works to expand the volume of its higher-margin business, management believes that the Company’s total revenue may see a moderate growth trend.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revenues for the six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1"/>
        <w:gridCol w:w="60"/>
        <w:gridCol w:w="140"/>
        <w:gridCol w:w="1100"/>
        <w:gridCol w:w="60"/>
        <w:gridCol w:w="60"/>
        <w:gridCol w:w="60"/>
        <w:gridCol w:w="560"/>
        <w:gridCol w:w="215"/>
        <w:gridCol w:w="60"/>
        <w:gridCol w:w="140"/>
        <w:gridCol w:w="1100"/>
        <w:gridCol w:w="60"/>
        <w:gridCol w:w="60"/>
        <w:gridCol w:w="60"/>
        <w:gridCol w:w="560"/>
        <w:gridCol w:w="215"/>
        <w:gridCol w:w="60"/>
        <w:gridCol w:w="140"/>
        <w:gridCol w:w="1055"/>
        <w:gridCol w:w="95"/>
        <w:gridCol w:w="60"/>
        <w:gridCol w:w="60"/>
        <w:gridCol w:w="515"/>
        <w:gridCol w:w="289"/>
      </w:tblGrid>
      <w:tr>
        <w:trPr/>
        <w:tc>
          <w:tcPr>
            <w:tcW w:w="3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3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289"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Variance</w:t>
            </w:r>
          </w:p>
        </w:tc>
        <w:tc>
          <w:tcPr>
            <w:tcW w:w="289"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89"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left"/>
              <w:rPr/>
            </w:pPr>
            <w:r>
              <w:rPr/>
              <w:t> </w:t>
            </w:r>
          </w:p>
        </w:tc>
      </w:tr>
      <w:tr>
        <w:trPr/>
        <w:tc>
          <w:tcPr>
            <w:tcW w:w="34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Clean-energy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10,412,332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13,196,043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(2,783,711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Digitalization and integration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2,629,399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2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energy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6,454,584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10,337,148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(3,882,564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and gas engineering technical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1,885,371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2,032,694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(147,323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w:t>
            </w:r>
          </w:p>
        </w:tc>
        <w:tc>
          <w:tcPr>
            <w:tcW w:w="2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20,978,428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28,195,284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(7,216,856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 from clean-energy equipment sales.</w:t>
      </w:r>
      <w:r>
        <w:rPr>
          <w:rFonts w:ascii="Times New Roman;Times;Serif" w:hAnsi="Times New Roman;Times;Serif"/>
          <w:b w:val="false"/>
          <w:i w:val="false"/>
          <w:caps w:val="false"/>
          <w:smallCaps w:val="false"/>
          <w:sz w:val="20"/>
        </w:rPr>
        <w:t xml:space="preserve"> Revenues from clean-energy equipment sales accounted for 49.6% and 46.8% of our revenues for the six months ended March 31, 2026 and 2025, respectively. Revenue from clean-energy equipment sales decreased by $2,783,711 or 21.1% to $10,412,332 for the six months ended March 31, 2026 from $13,196,043 in 2025. The decrease was mainly due to economic slowdown in the PRC, as customers intensified cost-control measures and reduced or delayed their procurement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Revenues from digitalization and integration equipment sales.</w:t>
      </w:r>
      <w:r>
        <w:rPr>
          <w:rFonts w:ascii="Times New Roman;Times;Serif" w:hAnsi="Times New Roman;Times;Serif"/>
          <w:b w:val="false"/>
          <w:i w:val="false"/>
          <w:caps w:val="false"/>
          <w:smallCaps w:val="false"/>
          <w:sz w:val="20"/>
        </w:rPr>
        <w:t xml:space="preserve"> Revenues from digitalization and integration equipment sales accounted for 10.6% and 9.3% of our revenues for the six months ended March 31, 2026 and 2025, respectively. Revenue from digitalization and integration equipment sales decreased by $403,258 or 15.3% to $2,226,141 for the six months ended March 31, 2026 from $2,629,399 in 2025. The decrease was mainly due to our plan to scale-back the extent of low-margin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Revenues from new energy sales. </w:t>
      </w:r>
      <w:r>
        <w:rPr>
          <w:rFonts w:ascii="Times New Roman;Times;Serif" w:hAnsi="Times New Roman;Times;Serif"/>
          <w:b w:val="false"/>
          <w:i w:val="false"/>
          <w:caps w:val="false"/>
          <w:smallCaps w:val="false"/>
          <w:sz w:val="20"/>
        </w:rPr>
        <w:t>Revenues from new energy sales accounted for 30.8% and 36.7% of our revenues for the six months ended March 31, 2026 and 2025, respectively. Revenue from new energy production and operation sales decreased by $3,882,564 or 37.6% to $6,454,584 for the six months ended March 31, 2026 from $10,337,148 in 2025. The decrease was mainly due to the Middle East geopolitical conflict, which drove volatility in international natural gas prices, alongside weak domestic demand and intense market competition. We have strategically reduced and will continue to scale back low-margin trading volumes in order to manage our exposure to pricing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Revenues from oil and gas engineering technical services. </w:t>
      </w:r>
      <w:r>
        <w:rPr>
          <w:rFonts w:ascii="Times New Roman;Times;Serif" w:hAnsi="Times New Roman;Times;Serif"/>
          <w:b w:val="false"/>
          <w:i w:val="false"/>
          <w:caps w:val="false"/>
          <w:smallCaps w:val="false"/>
          <w:sz w:val="20"/>
        </w:rPr>
        <w:t>Revenues from oil and gas engineering technical services accounted for 9.0% and 7.2% of our revenues for the six months ended March 31, 2026 and 2025, respectively. Revenues from oil and gas field engineering technical services decreased by $147,323 or 7.2% to $1,885,371 for the six months ended March 31, 2026 from $2,032,694 in 2025. The decrease was due mainly to the decrease in volumes of our compressor rental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cost of revenue for the six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21"/>
        <w:gridCol w:w="60"/>
        <w:gridCol w:w="140"/>
        <w:gridCol w:w="1100"/>
        <w:gridCol w:w="60"/>
        <w:gridCol w:w="60"/>
        <w:gridCol w:w="60"/>
        <w:gridCol w:w="560"/>
        <w:gridCol w:w="215"/>
        <w:gridCol w:w="60"/>
        <w:gridCol w:w="140"/>
        <w:gridCol w:w="1100"/>
        <w:gridCol w:w="60"/>
        <w:gridCol w:w="60"/>
        <w:gridCol w:w="60"/>
        <w:gridCol w:w="560"/>
        <w:gridCol w:w="215"/>
        <w:gridCol w:w="60"/>
        <w:gridCol w:w="140"/>
        <w:gridCol w:w="1055"/>
        <w:gridCol w:w="95"/>
        <w:gridCol w:w="60"/>
        <w:gridCol w:w="60"/>
        <w:gridCol w:w="515"/>
        <w:gridCol w:w="289"/>
      </w:tblGrid>
      <w:tr>
        <w:trPr/>
        <w:tc>
          <w:tcPr>
            <w:tcW w:w="34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3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289"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Variance</w:t>
            </w:r>
          </w:p>
        </w:tc>
        <w:tc>
          <w:tcPr>
            <w:tcW w:w="289"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89" w:type="dxa"/>
            <w:tcBorders/>
            <w:vAlign w:val="center"/>
          </w:tcPr>
          <w:p>
            <w:pPr>
              <w:pStyle w:val="TableContents"/>
              <w:bidi w:val="0"/>
              <w:spacing w:before="0" w:after="283"/>
              <w:jc w:val="left"/>
              <w:rPr/>
            </w:pPr>
            <w:r>
              <w:rPr/>
              <w:t> </w:t>
            </w:r>
          </w:p>
        </w:tc>
      </w:tr>
      <w:tr>
        <w:trPr/>
        <w:tc>
          <w:tcPr>
            <w:tcW w:w="34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pPr>
            <w:r>
              <w:rPr/>
              <w:t> </w:t>
            </w:r>
          </w:p>
        </w:tc>
        <w:tc>
          <w:tcPr>
            <w:tcW w:w="289" w:type="dxa"/>
            <w:tcBorders/>
            <w:vAlign w:val="center"/>
          </w:tcPr>
          <w:p>
            <w:pPr>
              <w:pStyle w:val="TableContents"/>
              <w:bidi w:val="0"/>
              <w:spacing w:before="0" w:after="283"/>
              <w:jc w:val="left"/>
              <w:rPr/>
            </w:pPr>
            <w:r>
              <w:rPr/>
              <w:t> </w:t>
            </w:r>
          </w:p>
        </w:tc>
      </w:tr>
      <w:tr>
        <w:trPr/>
        <w:tc>
          <w:tcPr>
            <w:tcW w:w="34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Clean-energy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6,842,781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10,528,452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(3,685,671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Digitalization and integration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2,064,862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2,032,358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energy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6,276,614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10,178,056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(3,901,442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(38.3</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Oil and gas engineering technical 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569,343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42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23,256,253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(7,502,653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clean-energy equipment sales decreased by $3,685,671 or 35.0%, to $6,842,781 for the six months ended March 31, 2026 from $10,528,452 in 2025, which was mainly due to the 21.1% decrease in related sales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digitalization and integration equipment sales increased by $32,504 or 1.6%, to $2,064,862 for the six months ended March 31, 2026 from $2,032,358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new energy sales decreased by $3,901,442 or 38.3% to $6,276,614 for the six months ended March 31, 2026 from $10,178,056 in 2025, which was mainly due to the decrease of sales of new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oil and gas engineering technical services increased by $51,956 or 10.0% to $569,343 for the six months ended March 31, 2026 from $517,387 in 2025. The increase was mainly due to the increase in customer requirements for technical expertise and equipment standards in leasing and technical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$5,224,828 for the six months ended March 31, 2026, an increase of $285,797 compared to $4,939,031 in 2025. Gross margin increased to 24.9%, representing a 7.4% increase compared to 2025. The increase was mainly due to the Company’s deliberate scale-back of low-margin businesses, which reduced the dilutive effect of low-margin activities and enhance our ability to enhance the overall gross margin. The Company plans to continue to adjust its business mix, reduce risk exposure, and further improve its gross margin on a sustained basis.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and gross margin by revenue stream were as follows:</w:t>
      </w:r>
    </w:p>
    <w:p>
      <w:pPr>
        <w:pStyle w:val="TextBody"/>
        <w:bidi w:val="0"/>
        <w:spacing w:before="0" w:after="0"/>
        <w:ind w:left="0" w:right="0" w:hanging="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3455"/>
        <w:gridCol w:w="60"/>
        <w:gridCol w:w="125"/>
        <w:gridCol w:w="845"/>
        <w:gridCol w:w="60"/>
        <w:gridCol w:w="60"/>
        <w:gridCol w:w="84"/>
        <w:gridCol w:w="536"/>
        <w:gridCol w:w="185"/>
        <w:gridCol w:w="60"/>
        <w:gridCol w:w="125"/>
        <w:gridCol w:w="845"/>
        <w:gridCol w:w="60"/>
        <w:gridCol w:w="60"/>
        <w:gridCol w:w="84"/>
        <w:gridCol w:w="536"/>
        <w:gridCol w:w="185"/>
        <w:gridCol w:w="60"/>
        <w:gridCol w:w="125"/>
        <w:gridCol w:w="755"/>
        <w:gridCol w:w="80"/>
        <w:gridCol w:w="60"/>
        <w:gridCol w:w="74"/>
        <w:gridCol w:w="546"/>
        <w:gridCol w:w="260"/>
      </w:tblGrid>
      <w:tr>
        <w:trPr/>
        <w:tc>
          <w:tcPr>
            <w:tcW w:w="345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5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March 31,</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Variance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br/>
              <w:t>Margin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br/>
              <w:t>Margin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w:t>
              <w:br/>
              <w:t>Margin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Clean-energy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3,569,551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2,667,591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901,960</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Digitalization and integration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(435,762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energy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177,970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159,092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18,878</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 and gas engineering technical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1,515,307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(199,279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5,224,828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4,939,031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285,797</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clean-energy equipment sales increased by $901,960 to $3,569,551 for the six months ended March 31, 2026, compared to $2,667,591 in 2025. Gross margin increased by 14.1% to 34.3%, primarily attributable to favorable product mix, as we sold more high-margin products in the six months ended March 31, 2026 than in the comparable period of 2025, as well as ongoing cost-control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digitalization and integration equipment sales decreased by $435,762 to $161,279 for the six months ended March 31, 2026, compared to $597,041 in 2025. Gross margin decreased by 15.5%, to 7.2% for the six months ended March 31, 2026, from 22.7% in 2025. The decrease in gross margin was mainly attributable to the scale-back of low-margin trading volumes and higher cost in product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new energy sales increased by $18,878 to $177,970 for the six months ended March 31, 2026, compared to $159,092 for the comparable period in 2025. Gross margin increased by 1.3%, to 2.8% for the six months ended March 31, 2026, from 1.5% in 2025. The increase in gross profit was mainly due to the Company’s strategic scale-back of low-margin trading volumes to mitigate our exposure to pricing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oil and gas engineering technical services decreased to $1,316,028 for the six months ended March 31, 2026 from $1,515,307 in 2025. Gross margin decreased by 4.7%, to 69.8% for the six months ended March 31, 2026, from 74.5% in 2025. The decrease in gross margin was attributable to the increase in customer requirements for technical expertise and equipment standards in leasing and technical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as following:</w:t>
      </w:r>
    </w:p>
    <w:p>
      <w:pPr>
        <w:pStyle w:val="TextBody"/>
        <w:bidi w:val="0"/>
        <w:spacing w:before="0" w:after="0"/>
        <w:ind w:left="0" w:right="0" w:hanging="0"/>
        <w:jc w:val="both"/>
        <w:rPr>
          <w:caps w:val="false"/>
          <w:smallCaps w:val="false"/>
        </w:rPr>
      </w:pPr>
      <w:r>
        <w:rPr>
          <w:caps w:val="false"/>
          <w:smallCaps w:val="false"/>
        </w:rPr>
        <w:t> </w:t>
      </w:r>
    </w:p>
    <w:tbl>
      <w:tblPr>
        <w:tblW w:w="10050" w:type="dxa"/>
        <w:jc w:val="left"/>
        <w:tblInd w:w="0" w:type="dxa"/>
        <w:tblLayout w:type="fixed"/>
        <w:tblCellMar>
          <w:top w:w="0" w:type="dxa"/>
          <w:left w:w="0" w:type="dxa"/>
          <w:bottom w:w="0" w:type="dxa"/>
          <w:right w:w="0" w:type="dxa"/>
        </w:tblCellMar>
      </w:tblPr>
      <w:tblGrid>
        <w:gridCol w:w="3365"/>
        <w:gridCol w:w="60"/>
        <w:gridCol w:w="145"/>
        <w:gridCol w:w="1015"/>
        <w:gridCol w:w="60"/>
        <w:gridCol w:w="60"/>
        <w:gridCol w:w="60"/>
        <w:gridCol w:w="560"/>
        <w:gridCol w:w="215"/>
        <w:gridCol w:w="60"/>
        <w:gridCol w:w="145"/>
        <w:gridCol w:w="1015"/>
        <w:gridCol w:w="60"/>
        <w:gridCol w:w="60"/>
        <w:gridCol w:w="60"/>
        <w:gridCol w:w="560"/>
        <w:gridCol w:w="215"/>
        <w:gridCol w:w="60"/>
        <w:gridCol w:w="140"/>
        <w:gridCol w:w="1055"/>
        <w:gridCol w:w="95"/>
        <w:gridCol w:w="60"/>
        <w:gridCol w:w="60"/>
        <w:gridCol w:w="560"/>
        <w:gridCol w:w="30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2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30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Variance</w:t>
            </w:r>
          </w:p>
        </w:tc>
        <w:tc>
          <w:tcPr>
            <w:tcW w:w="30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30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30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1,535,890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2,133,900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3,045,282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(911,382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(29.9</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expected credit losses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2,145,919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3,317,683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(1,171,764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(40.2</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5,913,157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7,161,279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(1,248,122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consist primarily of shipping fees, consulting fees, bidding fees and payroll and benefits for employees involved in the sales and distribution functions. Selling and marketing expenses were $1,535,890 for the six months ended March 31, 2026, an increase of $900,584, or 141.8%, from $635,306 for the six months ended March 31, 2025. The increase was due mainly to higher sales personnel salaries and marketing expenses resulting from intensified market competition. Going forward, the Company will strengthen management capabilities and adopt competitive sales incentive policies. Selling and marketing expenses are expected to increase in line with these measures and sales growth. The Company will strive to reduce its discretionary expenses and minimize any increase in selling and marketing expenses as a percentage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(“G&amp;A”) expenses consist primarily of payroll and related costs for employees involved in general corporate functions, including accounting, finance, tax, legal and human resources, professional fees and other general corporate expenses as well as costs associated with the use by these functions of facilities and equipment, such as depreciation and rental expenses. Our G&amp;A expenses were $2,133,900 for the six months ended March 31, 2026, a decrease of $911,382, or 29.9%, from $3,045,282 in 2025. The decrease was due mainly to 1) decrease of $751,830 in legal and auditing fees; and 2) decrease of $101,856 of personnel salaries. As a publicly listed company, the Company’s G&amp;A expenses may increase due to increased compliance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expected credit losses was $2,145,919 for the six months ended March 31, 2026, a decrease of $1,171,764 or 35.3%, from $3,317,683 for 2025. The decrease was mainly due to improvement in our collection of 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expenses consist primarily of payroll and related costs for employees involved in research functions and other general corporate expenses as well as costs associated with the use by these functions of facilities and equipment, such as depreciation and rental expenses. Our R&amp;D expenses were $97,448 for the six months ended March 31, 2026, a decrease of $65,560 from $163,008 in 2025 due primarily due to reduction in R&amp;D activities during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was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3"/>
        <w:gridCol w:w="60"/>
        <w:gridCol w:w="140"/>
        <w:gridCol w:w="1055"/>
        <w:gridCol w:w="95"/>
        <w:gridCol w:w="60"/>
        <w:gridCol w:w="60"/>
        <w:gridCol w:w="560"/>
        <w:gridCol w:w="255"/>
        <w:gridCol w:w="60"/>
        <w:gridCol w:w="142"/>
        <w:gridCol w:w="998"/>
        <w:gridCol w:w="95"/>
        <w:gridCol w:w="60"/>
        <w:gridCol w:w="60"/>
        <w:gridCol w:w="560"/>
        <w:gridCol w:w="255"/>
        <w:gridCol w:w="60"/>
        <w:gridCol w:w="140"/>
        <w:gridCol w:w="1055"/>
        <w:gridCol w:w="95"/>
        <w:gridCol w:w="60"/>
        <w:gridCol w:w="60"/>
        <w:gridCol w:w="635"/>
        <w:gridCol w:w="272"/>
      </w:tblGrid>
      <w:tr>
        <w:trPr/>
        <w:tc>
          <w:tcPr>
            <w:tcW w:w="33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6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272" w:type="dxa"/>
            <w:tcBorders/>
            <w:vAlign w:val="center"/>
          </w:tcPr>
          <w:p>
            <w:pPr>
              <w:pStyle w:val="TableContents"/>
              <w:bidi w:val="0"/>
              <w:spacing w:before="0" w:after="283"/>
              <w:jc w:val="left"/>
              <w:rPr/>
            </w:pPr>
            <w:r>
              <w:rPr/>
              <w:t> </w:t>
            </w:r>
          </w:p>
        </w:tc>
      </w:tr>
      <w:tr>
        <w:trPr/>
        <w:tc>
          <w:tcPr>
            <w:tcW w:w="33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Variance</w:t>
            </w:r>
          </w:p>
        </w:tc>
        <w:tc>
          <w:tcPr>
            <w:tcW w:w="272" w:type="dxa"/>
            <w:tcBorders/>
            <w:vAlign w:val="center"/>
          </w:tcPr>
          <w:p>
            <w:pPr>
              <w:pStyle w:val="TableContents"/>
              <w:bidi w:val="0"/>
              <w:spacing w:before="0" w:after="283"/>
              <w:jc w:val="left"/>
              <w:rPr/>
            </w:pPr>
            <w:r>
              <w:rPr/>
              <w:t> </w:t>
            </w:r>
          </w:p>
        </w:tc>
      </w:tr>
      <w:tr>
        <w:trPr/>
        <w:tc>
          <w:tcPr>
            <w:tcW w:w="33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272" w:type="dxa"/>
            <w:tcBorders/>
            <w:vAlign w:val="center"/>
          </w:tcPr>
          <w:p>
            <w:pPr>
              <w:pStyle w:val="TableContents"/>
              <w:bidi w:val="0"/>
              <w:spacing w:before="0" w:after="283"/>
              <w:jc w:val="left"/>
              <w:rPr/>
            </w:pPr>
            <w:r>
              <w:rPr/>
              <w:t> </w:t>
            </w:r>
          </w:p>
        </w:tc>
      </w:tr>
      <w:tr>
        <w:trPr/>
        <w:tc>
          <w:tcPr>
            <w:tcW w:w="33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272" w:type="dxa"/>
            <w:tcBorders/>
            <w:vAlign w:val="center"/>
          </w:tcPr>
          <w:p>
            <w:pPr>
              <w:pStyle w:val="TableContents"/>
              <w:bidi w:val="0"/>
              <w:spacing w:before="0" w:after="283"/>
              <w:jc w:val="left"/>
              <w:rPr/>
            </w:pPr>
            <w:r>
              <w:rPr/>
              <w:t> </w:t>
            </w:r>
          </w:p>
        </w:tc>
      </w:tr>
      <w:tr>
        <w:trPr/>
        <w:tc>
          <w:tcPr>
            <w:tcW w:w="3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w:t>
            </w:r>
          </w:p>
        </w:tc>
        <w:tc>
          <w:tcPr>
            <w:tcW w:w="2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(loss) gains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(167,571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(213,366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(465.9</w:t>
            </w:r>
          </w:p>
        </w:tc>
        <w:tc>
          <w:tcPr>
            <w:tcW w:w="2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from equity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investment (loss) gain from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(1,064,172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826,153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65.1</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(1,890,325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(228.8</w:t>
            </w:r>
          </w:p>
        </w:tc>
        <w:tc>
          <w:tcPr>
            <w:tcW w:w="2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from loans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w:t>
            </w:r>
          </w:p>
        </w:tc>
        <w:tc>
          <w:tcPr>
            <w:tcW w:w="2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gain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(288,176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(404,487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(347.8</w:t>
            </w:r>
          </w:p>
        </w:tc>
        <w:tc>
          <w:tcPr>
            <w:tcW w:w="2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153.4</w:t>
            </w:r>
          </w:p>
        </w:tc>
        <w:tc>
          <w:tcPr>
            <w:tcW w:w="2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3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(expenses)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(1,265,584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1,268,228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2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(2,533,812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(199.8</w:t>
            </w:r>
          </w:p>
        </w:tc>
        <w:tc>
          <w:tcPr>
            <w:tcW w:w="27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from equity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equity investment decreased by $171,368, or 100.0%, to nil for the six months ended March 31, 2026, from $171,368 for the six months ended March 31, 2025. The decrease was mainly due to the disposal of equity method investments prior to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investment (loss) gain from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we reported a net investment loss of $1,064,172, as opposed to a net investment gain of $826,153 for the six months ended March 31, 2025. The change was mainly due to the decrease in the fair value of common stocks that were publicly traded on the Hong Kong Stock Exchange due to declines in their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gain from disposal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the Company disposed of production equipment with net book value of RMB 2,066,784 ($294,590), received RMB 45,000 ($6,414) in cash and recognized a loss on disposal of RMB 2,021,784 ($288,176)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the Company disposed of production equipment with net book value of RMB 4,846,387 ($676,199), received RMB 5,680,000 ($792,510) in cash, and recognized a gain on disposal of RMB 833,613 ($116,311).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increased by $119,401, or 153.4%, to $197,232 for the six months ended March 31, 2026, from $77,831 for the six months ended March 31, 2025. The increase was mainly due to the increase in government subsidies in the six months period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Enterprise Income Tax (“EIT”) Law of the PRC, domestic enterprises and Foreign Investment Enterprises (the “FIE”) are usually subject to a unified 25% EIT rate while preferential tax rates, tax holidays, and even tax exemptions may be granted on case-by-case basis. The PRC tax authorities grant preferential tax treatment to High and New Technology Enterprises (“HNTEs”). Under this preferential tax treatment, HNTEs are entitled to an income tax rate of 15%, subject to a requirement that they re-apply for HNTE status every three years. Since China Oil Blue Ocean was approved as an HNTE in December 2022, China Oil Blue Ocean is entitled to a reduced income tax rate of 15% beginning October 2022 and is able to enjoy the reduced income tax rate through October 2025. In October 2025, China Oil Blue Ocean renewed its HNTE certification for another three years. Since ZJY Technologies was approved as an HNTE in December 2022, ZJY Technologies is entitled to a reduced income tax rate of 15% beginning October 2022 and is able to enjoy the reduced income tax rate through October 2025. In December 2025, ZJY Technologies renewed its HNTE certification for another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and 2025, our effective tax rates were 6.0% and (1.5)%, respectively. The increase in the effective tax rate was mainly due to the decrease in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2026, we reported an income tax benefit of $117,174 as opposed to an income tax expense of $14,635 in the comparable period of 2025. The variance is due mainly to higher net loss in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for the six months ended March 31, 2026 and 2025 was $1,836,739 and $968,655, respectively. The Company is of the view that a continued net loss may pose pressure on its liquidity, but the Company has sufficient cash resources and has implemented measures to improve profitability and control costs. The Company will continue to monitor its liquidity and take necessary actions to ensure it can meet its obligations as they fall due.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attributable to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recognized to reflect the portion of net income that is not attributable, directly or indirectly, to the Company as the controlling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March 31, 2025, non-controlling interests were $344,240, attributable to the minority shareholder’s 49% ownership interests in Sichuan Leishen Hongzhuo Energy Development Co., Ltd. (“Leishen Hongzhuo”), and Sichuan Huayou Huitong New Material Co., Ltd. (“Huayou Huitong”). The Company purchased non-controlling interests in Leishen Hongzhuo and Huayou Huitong in September and November 2025, respectively. For the six months ended March 31, 2026, the Company had no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attributable to Leishen Energy Holding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Leishen Energy decreased by $1,212,324, or 194.2% from loss of $624,415 for the six months ended March 31, 2025, to loss of $1,836,739 for the six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our principal sources of liquidity are generated from funds from our operations, bank loans and initial public offering. As of March 31, 2026 and September 30, 2025, we had cash of $10,249,822 and $10,159,656, respectively. Our current assets were $60,094,455 and $59,129,558 as of March 31, 2026 and September 30, 2025, respectively. Our current liabilities were $25,097,406 and $23,248,841 as of March 31, 2026 and September 30, 2025, respectively. Our current ratios as of March 31, 2026 and September 30, 2025 were 239.4% and 254.3%, respectively. Total equity as of March 31, 2026 and September 30, 2025 was $44,576,145 and $45,457,500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outstanding bank loans of approximately $2.9 million. We also entered into operating leases for our factory. The following table sets forth our contractual obligations as of March 31, 2026:</w:t>
      </w:r>
    </w:p>
    <w:p>
      <w:pPr>
        <w:pStyle w:val="TextBody"/>
        <w:bidi w:val="0"/>
        <w:spacing w:before="0" w:after="0"/>
        <w:ind w:left="0" w:right="0" w:hanging="0"/>
        <w:jc w:val="both"/>
        <w:rPr>
          <w:caps w:val="false"/>
          <w:smallCaps w:val="false"/>
        </w:rPr>
      </w:pPr>
      <w:r>
        <w:rPr>
          <w:caps w:val="false"/>
          <w:smallCaps w:val="false"/>
        </w:rPr>
        <w:t> </w:t>
      </w:r>
    </w:p>
    <w:tbl>
      <w:tblPr>
        <w:tblW w:w="8752" w:type="dxa"/>
        <w:jc w:val="left"/>
        <w:tblInd w:w="0" w:type="dxa"/>
        <w:tblLayout w:type="fixed"/>
        <w:tblCellMar>
          <w:top w:w="0" w:type="dxa"/>
          <w:left w:w="0" w:type="dxa"/>
          <w:bottom w:w="28" w:type="dxa"/>
          <w:right w:w="0" w:type="dxa"/>
        </w:tblCellMar>
      </w:tblPr>
      <w:tblGrid>
        <w:gridCol w:w="2600"/>
        <w:gridCol w:w="60"/>
        <w:gridCol w:w="140"/>
        <w:gridCol w:w="980"/>
        <w:gridCol w:w="60"/>
        <w:gridCol w:w="60"/>
        <w:gridCol w:w="140"/>
        <w:gridCol w:w="980"/>
        <w:gridCol w:w="60"/>
        <w:gridCol w:w="60"/>
        <w:gridCol w:w="163"/>
        <w:gridCol w:w="936"/>
        <w:gridCol w:w="60"/>
        <w:gridCol w:w="60"/>
        <w:gridCol w:w="163"/>
        <w:gridCol w:w="936"/>
        <w:gridCol w:w="60"/>
        <w:gridCol w:w="60"/>
        <w:gridCol w:w="163"/>
        <w:gridCol w:w="936"/>
        <w:gridCol w:w="75"/>
      </w:tblGrid>
      <w:tr>
        <w:trPr/>
        <w:tc>
          <w:tcPr>
            <w:tcW w:w="8752" w:type="dxa"/>
            <w:gridSpan w:val="21"/>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 Due by Period</w:t>
            </w:r>
          </w:p>
        </w:tc>
      </w:tr>
      <w:tr>
        <w:trPr/>
        <w:tc>
          <w:tcPr>
            <w:tcW w:w="26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Less than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tcMar>
              <w:bottom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More than</w:t>
            </w:r>
          </w:p>
        </w:tc>
        <w:tc>
          <w:tcPr>
            <w:tcW w:w="75" w:type="dxa"/>
            <w:tcBorders/>
            <w:tcMar>
              <w:bottom w:w="0" w:type="dxa"/>
            </w:tcMar>
            <w:vAlign w:val="center"/>
          </w:tcPr>
          <w:p>
            <w:pPr>
              <w:pStyle w:val="TableContents"/>
              <w:bidi w:val="0"/>
              <w:spacing w:before="0" w:after="283"/>
              <w:jc w:val="left"/>
              <w:rPr/>
            </w:pPr>
            <w:r>
              <w:rPr/>
              <w:t> </w:t>
            </w:r>
          </w:p>
        </w:tc>
      </w:tr>
      <w:tr>
        <w:trPr/>
        <w:tc>
          <w:tcPr>
            <w:tcW w:w="260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Contractual Obligations</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1 – 3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 – 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 years</w:t>
            </w:r>
          </w:p>
        </w:tc>
        <w:tc>
          <w:tcPr>
            <w:tcW w:w="75" w:type="dxa"/>
            <w:tcBorders/>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777,332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111,486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principal obligations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2,890,424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98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2,890,424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93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93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93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3,667,756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3,001,910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6"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219,902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we consummated our IPO and raised net proceeds of $5.4 million after deducting underwriting commission. In June 2026, we filed a registration statement on Form F-3 with the SEC that was declared effective on June 18, 2026. In accordance with the F-3, we may offer, issue and sell our registered securities from time to time up to $150,000,000, or its equivalent in any other currency, currency units, or composite currency or currencies. We have not sold any securities under the Form F-3. Any such offering would be made pursuant to a prospectus supplement filed with the SEC. We believe our current working capital and future equity financing are sufficient to support our operations for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uncertainty of the current market and macroeconomic conditions, our management believes it is necessary to enhance collection of outstanding accounts receivable and other receivables, and to be cautious on operational decisions and project selection. The Company reviews the accounts receivable on a periodic basis and makes general and specific allowances when there is doubt as to the collectability of individual balances. Our management is confident that the Company’s accounts receivable and other receivables are collectable.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 Months Ended March 31, 2026 Compared to Six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8726" w:type="dxa"/>
        <w:jc w:val="left"/>
        <w:tblInd w:w="0" w:type="dxa"/>
        <w:tblLayout w:type="fixed"/>
        <w:tblCellMar>
          <w:top w:w="0" w:type="dxa"/>
          <w:left w:w="0" w:type="dxa"/>
          <w:bottom w:w="0" w:type="dxa"/>
          <w:right w:w="0" w:type="dxa"/>
        </w:tblCellMar>
      </w:tblPr>
      <w:tblGrid>
        <w:gridCol w:w="5540"/>
        <w:gridCol w:w="60"/>
        <w:gridCol w:w="160"/>
        <w:gridCol w:w="1260"/>
        <w:gridCol w:w="108"/>
        <w:gridCol w:w="68"/>
        <w:gridCol w:w="160"/>
        <w:gridCol w:w="1260"/>
        <w:gridCol w:w="110"/>
      </w:tblGrid>
      <w:tr>
        <w:trPr/>
        <w:tc>
          <w:tcPr>
            <w:tcW w:w="5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1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 March 31,</w:t>
            </w:r>
          </w:p>
        </w:tc>
        <w:tc>
          <w:tcPr>
            <w:tcW w:w="11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10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110"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730,075</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(1,981,527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(391,698</w:t>
            </w:r>
          </w:p>
        </w:tc>
        <w:tc>
          <w:tcPr>
            <w:tcW w:w="10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5,664,522</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(369,265</w:t>
            </w:r>
          </w:p>
        </w:tc>
        <w:tc>
          <w:tcPr>
            <w:tcW w:w="1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7,987,112</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foreign exchange rate on cash and restricted cash</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187,225</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in cash and restricted cash</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156,337</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11,493,583</w:t>
            </w:r>
          </w:p>
        </w:tc>
        <w:tc>
          <w:tcPr>
            <w:tcW w:w="11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the beginning of the period</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10,160,587</w:t>
            </w:r>
          </w:p>
        </w:tc>
        <w:tc>
          <w:tcPr>
            <w:tcW w:w="10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7,301,014</w:t>
            </w:r>
          </w:p>
        </w:tc>
        <w:tc>
          <w:tcPr>
            <w:tcW w:w="11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at the end of the period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10,316,924</w:t>
            </w:r>
          </w:p>
        </w:tc>
        <w:tc>
          <w:tcPr>
            <w:tcW w:w="10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18,794,597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$730,075 for the six months ended March 31, 2026. It was primarily due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$1,836,739 for the six months;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by loss on disposal of property and equipment of $288,176, fair value change of financial instruments of $1,121,746 and provision for expected credit losses of $2,145,919;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notes receivable increased by $2,516,543, due to customers deferring their payments in response to the challenging economic environment;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accounts payable of $1,412,546 due to our delayed payments to suppliers amid the economic downturn.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advance to suppliers of $660,631;</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inventory of $627,921 due to the goods in transit was accepted by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taxes payable of $735,390;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caps w:val="false"/>
                <w:smallCaps w:val="false"/>
              </w:rPr>
            </w:pPr>
            <w:r>
              <w:rPr>
                <w:caps w:val="false"/>
                <w:smallCaps w:val="false"/>
              </w:rPr>
              <w:t> </w:t>
            </w:r>
          </w:p>
        </w:tc>
        <w:tc>
          <w:tcPr>
            <w:tcW w:w="99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other assets of $523,355 due to an increase in VAT Credit to be deducted.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$1,981,527 for the six months ended March 31, 2025. It was primarily due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of $968,655 for the six months;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by fair value change of financial instruments of $826,153, provision for expected credit losses of $3,317,683;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and notes receivable increased by $1,064,864, due to customers deferring their payments in response to the challenging economic environment;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advance to suppliers of $2,176,850 due to more suppliers requiring payments in advance;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in inventory of $1,609,405 due to the goods in transit was accepted by our customers.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accounts payable of $2,417,661 due to payment to our vendors;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advance from customers of $937,625 due to fewer new orders in this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caps w:val="false"/>
                <w:smallCaps w:val="false"/>
              </w:rPr>
            </w:pPr>
            <w:r>
              <w:rPr>
                <w:caps w:val="false"/>
                <w:smallCaps w:val="false"/>
              </w:rPr>
              <w:t> </w:t>
            </w:r>
          </w:p>
        </w:tc>
        <w:tc>
          <w:tcPr>
            <w:tcW w:w="99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due to related parties of $1,620,234.</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$391,689 for the six months ended March 31, 2026. It was primarily due to: a) purchase of short-term investments of $16,921,805; b) purchase of long-term investments of $712,677; c) loan to a related party of $622,364; d) purchases of property and equipment of $157,843; and e) loans to third parties of $1,514,666. These were partially offset by: f) maturities of short-term investments of $18,052,936; and g) collection of $1,562,188 in loans receivable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$5,664,522 for the six months ended March 31, 2025. It was primarily due to: a) maturities of short-term investments of $24,563,110; b) proceeds on disposal of property and equipment of $701,336; partially offset by: c) purchase of short-term investments of $17,231,516; d) loans to third parties of $2,299,751.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$369,265 for the six months ended March 31, 2026. We obtained borrowings of $2,850,708 via bank loans as working capital, which were offset by the repayment of approximately 3,107,272. In addition, we paid dividends of $70,142 and purchase non-controlling interest of $42,559.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$7,987,112 for the six months ended March 31, 2025. We obtained net borrowings of $2,733,921 via bank loans as working capital, and receipt $5,380,488 from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 March 16, 2026, the Company obtained a loan of RMB 10 million ($1,445,212) from Industrial and Commercial Bank of China Beijing Yayuncun Sub-branch. The loan carries an annual interest of 2.35% and is due on March 15,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On March 25, 2026, the Company obtained a loan of RMB 10 million ($1,445,212) from Industrial and Commercial Bank of China Beijing Yayuncun Sub-branch. The loan carries an annual interest of 2.35% and it is due on March 19,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On March 18, 2025, the Company obtained a loan of RMB 10 million ($1,407,360) from Industrial and Commercial Bank of China Beijing Yayuncun Sub-branch, which was due March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On March 25, 2025, the Company obtained a loan of RMB 10 million ($1,407,360) from Industrial and Commercial Bank of China Beijing Yayuncun Sub-branch, which was due March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On November 21, 2023, the Company obtained a loan of RMB 2 million ($281,472) from Bank of China Chengdu Hi-Tech Industrial Development Zone Sub-branch, which was due November 20, 2024. The loan was guaranteed by Li Hongliang, chief executive officer of the Company. The Company repaid RMB 100,000 ($14,074) in October 2024, refinanced RMB 1,900,000 ($267,398) and extended the due date to October 15, 2025. The Company repaid RMB 100,000 ($14,074) and RMB 1,800,000 ($253,326) on September 16, 2025 and October 16,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legal proceedings, claims and disputes that arise in the ordinary course of business. Amounts accrued, as well as the total amount of possible losses with respect to such matters, individually and in the aggregate, are not deemed to be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spaces and factories under non-cancellable operating leases, with terms from 24 to 120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2022, Sichuan Leishen Hongzhuo leased a vacant land from Chengdu Longxing Natural Gas Co., Ltd. for the construction of a natural gas recovery station, which complies with national land-use standards. The lease term is eleven years and the annual rent is RMB 133,745($19,329). On April 1, 2023, Sichuan TIBO Fluid Technology Co., Ltd. leased the factory at Shiliba Industrial Park, Xinshi Town, Jianyang City, Sichuan Province to China Oil Blue Ocean. The term is ten years and the rent is RMB6,440,367 ($930,770) in total. Future minimum lease payments are $111,486 for the 12 months ending March 31,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 unconsolidated entity that provides financing, liquidity, market risk, or credit support to us or engages in leasing, hedging, or research and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accounting principles generally accepted in the U.S., which require us to make estimates and assumptions that affect the reported amounts of assets and liabilities. On an ongoing basis, we evaluate our estimates, including those estimates that may have a significant effect on our financial condition and results of operations. Our significant accounting policies are disclosed in Note 2 to our consolidated financial statements. We base our estimates and judgment on historical experience and on various other factors that are believed to be reasonable under the circumstances. Actual results may differ from these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7"/>
        <w:gridCol w:w="9863"/>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estimate is material due to the levels of subjectivity and judgment necessary to account for highly uncertain matters or the susceptibility of such matters to change; and</w:t>
            </w:r>
          </w:p>
        </w:tc>
      </w:tr>
    </w:tbl>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05"/>
        <w:gridCol w:w="275"/>
        <w:gridCol w:w="705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estimate on financial condition or operating performance is material.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Accounting Standards Update 326, Credit Losses (“ASC 326”) to account for the related expected credit losses. In accordance with ASC 326, the Company maintains an allowance for credit losses and records the allowance for credit losses as an offset to assets such as accounts receivable, and the estimated credit losses charged to the allowance are presented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collectability by reviewing receivables on a collective basis where similar characteristics exist, primarily based on the size and nature of specific customer’s receivables (the “CECL model”). In determining the amount of the allowance for credit losses, the Company considers not only the input from its CECL model but also historical collectability based on past due status, the age of the receivable balances, credit quality of customers based on ongoing credit evaluations, current economic conditions, reasonable and supportable forecasts of future economic conditions, and other factors that may affect the Company’s ability to collect from customers. Actual credit losses and related allowance are written off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changes in the key assumptions of our CECL model throughout the periods presented.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139/000149315226027767/formf-3.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22359</Words>
  <Characters>123471</Characters>
  <CharactersWithSpaces>148473</CharactersWithSpaces>
  <Paragraphs>10352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